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EED8" w14:textId="149BD966" w:rsidR="00EA3C7C" w:rsidRDefault="00EA3C7C" w:rsidP="00EA3C7C">
      <w:pPr>
        <w:spacing w:line="360" w:lineRule="auto"/>
        <w:jc w:val="both"/>
        <w:rPr>
          <w:sz w:val="32"/>
          <w:szCs w:val="32"/>
        </w:rPr>
      </w:pPr>
      <w:r>
        <w:rPr>
          <w:sz w:val="32"/>
          <w:szCs w:val="32"/>
          <w:lang w:val="en"/>
        </w:rPr>
        <w:t xml:space="preserve">CONDITIONAL APPROVAL IN THE PHARMACEUTICAL MARKET  </w:t>
      </w:r>
    </w:p>
    <w:p w14:paraId="6BF8AEC1" w14:textId="2291CA3E" w:rsidR="00EA3C7C" w:rsidRDefault="00EA3C7C" w:rsidP="00EA3C7C">
      <w:pPr>
        <w:pStyle w:val="Akapitzlist"/>
        <w:numPr>
          <w:ilvl w:val="0"/>
          <w:numId w:val="13"/>
        </w:numPr>
        <w:spacing w:line="360" w:lineRule="auto"/>
        <w:jc w:val="both"/>
        <w:rPr>
          <w:b/>
          <w:kern w:val="3"/>
          <w:sz w:val="22"/>
        </w:rPr>
      </w:pPr>
      <w:r>
        <w:rPr>
          <w:b/>
          <w:bCs/>
          <w:kern w:val="3"/>
          <w:sz w:val="22"/>
          <w:lang w:val="en"/>
        </w:rPr>
        <w:t>President of UOKiK, Tomasz Chróstny, has issued two conditional decisions.</w:t>
      </w:r>
    </w:p>
    <w:p w14:paraId="3E551D98" w14:textId="5D8F8598" w:rsidR="00EA3C7C" w:rsidRDefault="00DA1A73" w:rsidP="00EA3C7C">
      <w:pPr>
        <w:numPr>
          <w:ilvl w:val="0"/>
          <w:numId w:val="13"/>
        </w:numPr>
        <w:spacing w:line="360" w:lineRule="auto"/>
        <w:jc w:val="both"/>
        <w:rPr>
          <w:b/>
          <w:kern w:val="3"/>
          <w:sz w:val="22"/>
        </w:rPr>
      </w:pPr>
      <w:r>
        <w:rPr>
          <w:b/>
          <w:bCs/>
          <w:kern w:val="3"/>
          <w:sz w:val="22"/>
          <w:lang w:val="en"/>
        </w:rPr>
        <w:t>Gemini Polska may take over the companies: Apteka [Pharmacy] Wrzeszcz and Apteka Trójmiasto upon condition of selling three pharmacies.</w:t>
      </w:r>
    </w:p>
    <w:p w14:paraId="625D373E" w14:textId="07CA5FED" w:rsidR="00EA3C7C" w:rsidRDefault="00EA3C7C" w:rsidP="00EA3C7C">
      <w:pPr>
        <w:numPr>
          <w:ilvl w:val="0"/>
          <w:numId w:val="13"/>
        </w:numPr>
        <w:spacing w:after="240" w:line="360" w:lineRule="auto"/>
        <w:jc w:val="both"/>
        <w:rPr>
          <w:b/>
          <w:kern w:val="3"/>
          <w:sz w:val="22"/>
        </w:rPr>
      </w:pPr>
      <w:r>
        <w:rPr>
          <w:b/>
          <w:bCs/>
          <w:kern w:val="3"/>
          <w:sz w:val="22"/>
          <w:lang w:val="en"/>
        </w:rPr>
        <w:t xml:space="preserve">By dint of this, competition in local markets in Gdańsk, Starogard </w:t>
      </w:r>
      <w:r w:rsidR="00610C83">
        <w:rPr>
          <w:b/>
          <w:bCs/>
          <w:kern w:val="3"/>
          <w:sz w:val="22"/>
          <w:lang w:val="en"/>
        </w:rPr>
        <w:t xml:space="preserve">Gdański </w:t>
      </w:r>
      <w:r>
        <w:rPr>
          <w:b/>
          <w:bCs/>
          <w:kern w:val="3"/>
          <w:sz w:val="22"/>
          <w:lang w:val="en"/>
        </w:rPr>
        <w:t>and in Suw</w:t>
      </w:r>
      <w:r w:rsidR="00F94260">
        <w:rPr>
          <w:b/>
          <w:bCs/>
          <w:kern w:val="3"/>
          <w:sz w:val="22"/>
          <w:lang w:val="en"/>
        </w:rPr>
        <w:t>a</w:t>
      </w:r>
      <w:r>
        <w:rPr>
          <w:b/>
          <w:bCs/>
          <w:kern w:val="3"/>
          <w:sz w:val="22"/>
          <w:lang w:val="en"/>
        </w:rPr>
        <w:t>łki will not be impaired.</w:t>
      </w:r>
    </w:p>
    <w:p w14:paraId="06753694" w14:textId="23209BAF" w:rsidR="0091340B" w:rsidRPr="00B96EC0" w:rsidRDefault="00EA3C7C" w:rsidP="004916F0">
      <w:pPr>
        <w:spacing w:after="240" w:line="360" w:lineRule="auto"/>
        <w:contextualSpacing/>
        <w:jc w:val="both"/>
        <w:rPr>
          <w:color w:val="000000" w:themeColor="text1"/>
          <w:sz w:val="22"/>
        </w:rPr>
      </w:pPr>
      <w:r w:rsidRPr="00573FB4">
        <w:rPr>
          <w:b/>
          <w:sz w:val="22"/>
          <w:lang w:val="en"/>
        </w:rPr>
        <w:t xml:space="preserve">[Warsaw, </w:t>
      </w:r>
      <w:r w:rsidR="00573FB4">
        <w:rPr>
          <w:b/>
          <w:sz w:val="22"/>
          <w:lang w:val="en"/>
        </w:rPr>
        <w:t>2 October</w:t>
      </w:r>
      <w:r w:rsidRPr="00573FB4">
        <w:rPr>
          <w:b/>
          <w:sz w:val="22"/>
          <w:lang w:val="en"/>
        </w:rPr>
        <w:t xml:space="preserve"> 2023]</w:t>
      </w:r>
      <w:r>
        <w:rPr>
          <w:sz w:val="22"/>
          <w:lang w:val="en"/>
        </w:rPr>
        <w:t xml:space="preserve"> </w:t>
      </w:r>
      <w:r>
        <w:rPr>
          <w:color w:val="000000" w:themeColor="text1"/>
          <w:sz w:val="22"/>
          <w:lang w:val="en"/>
        </w:rPr>
        <w:t xml:space="preserve">Gemini Polska is in possession of 96 own pharmacies as well as it is an arranger of a franchise network comprising 180 pharmacies. Apteka Wrzeszcz runs 16 pharmacies in 9 towns/cities. </w:t>
      </w:r>
      <w:r>
        <w:rPr>
          <w:color w:val="000000" w:themeColor="text1"/>
          <w:kern w:val="20"/>
          <w:sz w:val="22"/>
          <w:lang w:val="en"/>
        </w:rPr>
        <w:t xml:space="preserve">Apteka Trójmiasto holds 20 pharmacies in 12 towns/cities. </w:t>
      </w:r>
      <w:r>
        <w:rPr>
          <w:color w:val="000000" w:themeColor="text1"/>
          <w:sz w:val="22"/>
          <w:lang w:val="en"/>
        </w:rPr>
        <w:t xml:space="preserve">All the pharmacies belonging to the taken-over companies are members of the </w:t>
      </w:r>
      <w:r>
        <w:rPr>
          <w:color w:val="000000" w:themeColor="text1"/>
          <w:kern w:val="20"/>
          <w:sz w:val="22"/>
          <w:lang w:val="en"/>
        </w:rPr>
        <w:t xml:space="preserve">franchise network arranged by Gemini Polska and are run under the business name of “Gemini”. </w:t>
      </w:r>
    </w:p>
    <w:p w14:paraId="7EB950BC" w14:textId="0FE288AD" w:rsidR="009E4354" w:rsidRPr="00B96EC0" w:rsidRDefault="00E614A4" w:rsidP="001D696C">
      <w:pPr>
        <w:pStyle w:val="NormalnyWeb"/>
        <w:spacing w:before="0" w:beforeAutospacing="0" w:after="240" w:afterAutospacing="0" w:line="360" w:lineRule="auto"/>
        <w:jc w:val="both"/>
        <w:rPr>
          <w:rFonts w:ascii="Trebuchet MS" w:hAnsi="Trebuchet MS" w:cs="Tahoma"/>
          <w:color w:val="000000" w:themeColor="text1"/>
          <w:sz w:val="22"/>
          <w:szCs w:val="22"/>
          <w:shd w:val="clear" w:color="auto" w:fill="FFFFFF"/>
        </w:rPr>
      </w:pPr>
      <w:r>
        <w:rPr>
          <w:rFonts w:ascii="Trebuchet MS" w:hAnsi="Trebuchet MS"/>
          <w:color w:val="000000" w:themeColor="text1"/>
          <w:kern w:val="3"/>
          <w:sz w:val="22"/>
          <w:szCs w:val="22"/>
          <w:lang w:val="en"/>
        </w:rPr>
        <w:t xml:space="preserve">In the course of the proceedings, like in previous decisions pertaining to concentration in pharmaceutical market, pharmacies have been assumed to compete </w:t>
      </w:r>
      <w:r>
        <w:rPr>
          <w:rFonts w:ascii="Trebuchet MS" w:hAnsi="Trebuchet MS"/>
          <w:color w:val="000000" w:themeColor="text1"/>
          <w:sz w:val="22"/>
          <w:szCs w:val="22"/>
          <w:lang w:val="en"/>
        </w:rPr>
        <w:t xml:space="preserve">within the </w:t>
      </w:r>
      <w:r w:rsidR="00207B9E">
        <w:rPr>
          <w:rFonts w:ascii="Trebuchet MS" w:hAnsi="Trebuchet MS"/>
          <w:color w:val="000000" w:themeColor="text1"/>
          <w:sz w:val="22"/>
          <w:szCs w:val="22"/>
          <w:lang w:val="en"/>
        </w:rPr>
        <w:t>area</w:t>
      </w:r>
      <w:r>
        <w:rPr>
          <w:rFonts w:ascii="Trebuchet MS" w:hAnsi="Trebuchet MS"/>
          <w:color w:val="000000" w:themeColor="text1"/>
          <w:sz w:val="22"/>
          <w:szCs w:val="22"/>
          <w:lang w:val="en"/>
        </w:rPr>
        <w:t xml:space="preserve"> of one kilometer. </w:t>
      </w:r>
      <w:r>
        <w:rPr>
          <w:rFonts w:ascii="Trebuchet MS" w:hAnsi="Trebuchet MS"/>
          <w:color w:val="000000" w:themeColor="text1"/>
          <w:sz w:val="22"/>
          <w:szCs w:val="22"/>
          <w:shd w:val="clear" w:color="auto" w:fill="FFFFFF"/>
          <w:lang w:val="en"/>
        </w:rPr>
        <w:t>This assumption is a consequence of the fact that consumers most frequently choose pharmacies in the vicinity of their</w:t>
      </w:r>
      <w:bookmarkStart w:id="0" w:name="_GoBack"/>
      <w:bookmarkEnd w:id="0"/>
      <w:r>
        <w:rPr>
          <w:rFonts w:ascii="Trebuchet MS" w:hAnsi="Trebuchet MS"/>
          <w:color w:val="000000" w:themeColor="text1"/>
          <w:sz w:val="22"/>
          <w:szCs w:val="22"/>
          <w:shd w:val="clear" w:color="auto" w:fill="FFFFFF"/>
          <w:lang w:val="en"/>
        </w:rPr>
        <w:t xml:space="preserve"> place of residence, work or healthcare facility where the majority of them walks. Only the inhabitants of locations where no pharmacy operates usually drive or go by bus.</w:t>
      </w:r>
    </w:p>
    <w:p w14:paraId="1B46A555" w14:textId="0C21484B" w:rsidR="004E6345" w:rsidRPr="00B96EC0" w:rsidRDefault="004E6345" w:rsidP="001D696C">
      <w:pPr>
        <w:pStyle w:val="NormalnyWeb"/>
        <w:spacing w:before="0" w:beforeAutospacing="0" w:after="240" w:afterAutospacing="0" w:line="360" w:lineRule="auto"/>
        <w:jc w:val="both"/>
        <w:rPr>
          <w:rFonts w:ascii="Trebuchet MS" w:hAnsi="Trebuchet MS" w:cs="Tahoma"/>
          <w:color w:val="000000" w:themeColor="text1"/>
          <w:sz w:val="22"/>
          <w:szCs w:val="22"/>
          <w:shd w:val="clear" w:color="auto" w:fill="FFFFFF"/>
        </w:rPr>
      </w:pPr>
      <w:r>
        <w:rPr>
          <w:rFonts w:ascii="Trebuchet MS" w:hAnsi="Trebuchet MS" w:cs="Tahoma"/>
          <w:color w:val="000000" w:themeColor="text1"/>
          <w:sz w:val="22"/>
          <w:szCs w:val="22"/>
          <w:shd w:val="clear" w:color="auto" w:fill="FFFFFF"/>
          <w:lang w:val="en"/>
        </w:rPr>
        <w:t>Additionally, the analyses made by UOKIK have proven that despite the fact that to-be-incorporated pharmacies are members of the franchise network of the taking-over company, they are still competitors for Gemini Polska own pharmacies.</w:t>
      </w:r>
    </w:p>
    <w:p w14:paraId="60F1C74F" w14:textId="34B5FD6C" w:rsidR="0031711D" w:rsidRPr="00B96EC0" w:rsidRDefault="009E4354" w:rsidP="001D696C">
      <w:pPr>
        <w:spacing w:after="240" w:line="360" w:lineRule="auto"/>
        <w:jc w:val="both"/>
        <w:rPr>
          <w:kern w:val="3"/>
          <w:sz w:val="22"/>
        </w:rPr>
      </w:pPr>
      <w:r>
        <w:rPr>
          <w:i/>
          <w:iCs/>
          <w:kern w:val="3"/>
          <w:sz w:val="22"/>
          <w:lang w:val="en"/>
        </w:rPr>
        <w:t xml:space="preserve">- Our analyses of local markets have proven that at some of them may face restriction of competition. Still, the sales of three pharmacies will prevent some adverse consequences of the transaction which might be experienced by consumers in Gdańsk, Starogard </w:t>
      </w:r>
      <w:r w:rsidR="00961A17">
        <w:rPr>
          <w:i/>
          <w:iCs/>
          <w:kern w:val="3"/>
          <w:sz w:val="22"/>
          <w:lang w:val="en"/>
        </w:rPr>
        <w:t xml:space="preserve">Gdański </w:t>
      </w:r>
      <w:r>
        <w:rPr>
          <w:i/>
          <w:iCs/>
          <w:kern w:val="3"/>
          <w:sz w:val="22"/>
          <w:lang w:val="en"/>
        </w:rPr>
        <w:t>and Suwałki</w:t>
      </w:r>
      <w:r>
        <w:rPr>
          <w:kern w:val="3"/>
          <w:sz w:val="22"/>
          <w:lang w:val="en"/>
        </w:rPr>
        <w:t xml:space="preserve"> - says Tomasz Chróstny, President of the UOKiK.</w:t>
      </w:r>
    </w:p>
    <w:p w14:paraId="7D46404F" w14:textId="74C9F3AE" w:rsidR="005864ED" w:rsidRPr="001D696C" w:rsidRDefault="0031711D" w:rsidP="001D696C">
      <w:pPr>
        <w:spacing w:after="240" w:line="360" w:lineRule="auto"/>
        <w:jc w:val="both"/>
        <w:rPr>
          <w:sz w:val="22"/>
        </w:rPr>
      </w:pPr>
      <w:r>
        <w:rPr>
          <w:kern w:val="3"/>
          <w:sz w:val="22"/>
          <w:lang w:val="en"/>
        </w:rPr>
        <w:t xml:space="preserve">Following the condition imposed in the decision pertaining to Apteka Wrzeszcz, Gemini Polska is obliged to sell the pharmacy located in Gdańsk at ul. Obrońców Wybrzeża 2. On the other hand, the condition for taking over the Apteka Trójmiasto company is to sell pharmacies in </w:t>
      </w:r>
      <w:r>
        <w:rPr>
          <w:sz w:val="22"/>
          <w:lang w:val="en"/>
        </w:rPr>
        <w:t xml:space="preserve">Starogard </w:t>
      </w:r>
      <w:r w:rsidR="00961A17">
        <w:rPr>
          <w:sz w:val="22"/>
          <w:lang w:val="en"/>
        </w:rPr>
        <w:t>Gdański</w:t>
      </w:r>
      <w:r>
        <w:rPr>
          <w:sz w:val="22"/>
          <w:lang w:val="en"/>
        </w:rPr>
        <w:t xml:space="preserve"> at ul. Hallera 19C and in Suwałki at ul. 1 Maja 6. </w:t>
      </w:r>
      <w:r>
        <w:rPr>
          <w:color w:val="000000" w:themeColor="text1"/>
          <w:sz w:val="22"/>
          <w:shd w:val="clear" w:color="auto" w:fill="FFFFFF"/>
          <w:lang w:val="en"/>
        </w:rPr>
        <w:t xml:space="preserve">The purchaser may not be a member of the same capital group as Gemini Polska and must be </w:t>
      </w:r>
      <w:r>
        <w:rPr>
          <w:color w:val="000000" w:themeColor="text1"/>
          <w:sz w:val="22"/>
          <w:shd w:val="clear" w:color="auto" w:fill="FFFFFF"/>
          <w:lang w:val="en"/>
        </w:rPr>
        <w:lastRenderedPageBreak/>
        <w:t>approved by President of UOKIK. The purchase agreement must include a clause whereunder the investor will be obliged to continue pharmaceutical activity in this location. The wording of this provision will additionally require the approval of President of the Office of Competition and Consumer Protection.</w:t>
      </w:r>
    </w:p>
    <w:p w14:paraId="65276EE5" w14:textId="77777777" w:rsidR="00EA3C7C" w:rsidRPr="001D696C" w:rsidRDefault="00EA3C7C" w:rsidP="00ED06EF">
      <w:pPr>
        <w:shd w:val="clear" w:color="auto" w:fill="FFFFFF"/>
        <w:spacing w:after="240" w:line="360" w:lineRule="auto"/>
        <w:jc w:val="both"/>
        <w:rPr>
          <w:rFonts w:cs="Tahoma"/>
          <w:color w:val="000000" w:themeColor="text1"/>
          <w:sz w:val="22"/>
        </w:rPr>
      </w:pPr>
      <w:r>
        <w:rPr>
          <w:rFonts w:cs="Tahoma"/>
          <w:color w:val="000000" w:themeColor="text1"/>
          <w:sz w:val="22"/>
          <w:lang w:val="en"/>
        </w:rPr>
        <w:t>According to the law, the merger is subject to notification to the antitrust authority if it involves undertakings whose aggregate turnover generated in the preceding year exceeded EUR 1 billion worldwide or EUR 50 million in Poland.</w:t>
      </w:r>
    </w:p>
    <w:p w14:paraId="34D6241A" w14:textId="119C000B" w:rsidR="00EA3C7C" w:rsidRPr="001D696C" w:rsidRDefault="00EA3C7C" w:rsidP="00ED06EF">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olor w:val="000000" w:themeColor="text1"/>
          <w:sz w:val="22"/>
          <w:szCs w:val="22"/>
          <w:shd w:val="clear" w:color="auto" w:fill="FFFFFF"/>
          <w:lang w:val="en"/>
        </w:rPr>
        <w:t xml:space="preserve">At the same time, let us remind you that when issuing a decision on concentration, </w:t>
      </w:r>
      <w:r>
        <w:rPr>
          <w:rFonts w:ascii="Trebuchet MS" w:hAnsi="Trebuchet MS"/>
          <w:color w:val="000000" w:themeColor="text1"/>
          <w:sz w:val="22"/>
          <w:szCs w:val="22"/>
          <w:lang w:val="en"/>
        </w:rPr>
        <w:t>President of UOKiK is allowed to follow exclusively the Act on Competition and Consumer Protection. He is not allowed to follow any other legal instruments, such as the Pharmaceutical Act, for example. For this reason, the only prerequisite on the basis of which President of UOKiK issues his decisions on concentration-related matters will be the impact of the transaction on competitiveness. When assessing the concentration, President of UOKiK may prohibit the transaction, grant approval to its performance or make it subject to some additional conditions. The decisions issued shall remain valid over a period of two years.</w:t>
      </w:r>
    </w:p>
    <w:p w14:paraId="1633DC47" w14:textId="0B720D17" w:rsidR="00EA3C7C" w:rsidRPr="001D696C" w:rsidRDefault="00EA3C7C" w:rsidP="00ED06EF">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t xml:space="preserve">The decision is not final. The party notifying the Office has the right to appeal to the Court of Competition and Consumer Protection. </w:t>
      </w:r>
      <w:r>
        <w:rPr>
          <w:rFonts w:ascii="Trebuchet MS" w:hAnsi="Trebuchet MS" w:cs="Tahoma"/>
          <w:color w:val="000000" w:themeColor="text1"/>
          <w:sz w:val="22"/>
          <w:szCs w:val="22"/>
          <w:u w:val="single"/>
          <w:lang w:val="en"/>
        </w:rPr>
        <w:t>At the same time</w:t>
      </w:r>
      <w:r w:rsidR="00135548">
        <w:rPr>
          <w:rFonts w:ascii="Trebuchet MS" w:hAnsi="Trebuchet MS" w:cs="Tahoma"/>
          <w:color w:val="000000" w:themeColor="text1"/>
          <w:sz w:val="22"/>
          <w:szCs w:val="22"/>
          <w:u w:val="single"/>
          <w:lang w:val="en"/>
        </w:rPr>
        <w:t>,</w:t>
      </w:r>
      <w:r>
        <w:rPr>
          <w:rFonts w:ascii="Trebuchet MS" w:hAnsi="Trebuchet MS" w:cs="Tahoma"/>
          <w:color w:val="000000" w:themeColor="text1"/>
          <w:sz w:val="22"/>
          <w:szCs w:val="22"/>
          <w:u w:val="single"/>
          <w:lang w:val="en"/>
        </w:rPr>
        <w:t xml:space="preserve"> please be informed that </w:t>
      </w:r>
      <w:hyperlink r:id="rId9" w:history="1">
        <w:r>
          <w:rPr>
            <w:rStyle w:val="Hipercze"/>
            <w:rFonts w:ascii="Trebuchet MS" w:eastAsia="Calibri" w:hAnsi="Trebuchet MS" w:cs="Tahoma"/>
            <w:color w:val="000000" w:themeColor="text1"/>
            <w:sz w:val="22"/>
            <w:szCs w:val="22"/>
            <w:lang w:val="en"/>
          </w:rPr>
          <w:t>the UOKiK website</w:t>
        </w:r>
      </w:hyperlink>
      <w:r>
        <w:rPr>
          <w:rFonts w:ascii="Trebuchet MS" w:hAnsi="Trebuchet MS" w:cs="Tahoma"/>
          <w:color w:val="000000" w:themeColor="text1"/>
          <w:sz w:val="22"/>
          <w:szCs w:val="22"/>
          <w:lang w:val="en"/>
        </w:rPr>
        <w:t xml:space="preserve"> publishes information on all concentration-related antitrust proceedings conducted by the Authority.</w:t>
      </w:r>
    </w:p>
    <w:p w14:paraId="126DB4A3" w14:textId="414A9D35" w:rsidR="00B075C5" w:rsidRPr="001D696C" w:rsidRDefault="00B075C5" w:rsidP="00ED06EF">
      <w:pPr>
        <w:shd w:val="clear" w:color="auto" w:fill="FFFFFF"/>
        <w:spacing w:after="240" w:line="360" w:lineRule="auto"/>
        <w:jc w:val="both"/>
        <w:rPr>
          <w:sz w:val="22"/>
        </w:rPr>
      </w:pPr>
    </w:p>
    <w:sectPr w:rsidR="00B075C5" w:rsidRPr="001D696C" w:rsidSect="00816923">
      <w:headerReference w:type="default" r:id="rId10"/>
      <w:footerReference w:type="default" r:id="rId11"/>
      <w:pgSz w:w="11906" w:h="16838"/>
      <w:pgMar w:top="1843" w:right="1417" w:bottom="2269"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DBB8" w14:textId="77777777" w:rsidR="00B43FA6" w:rsidRDefault="00B43FA6">
      <w:r>
        <w:separator/>
      </w:r>
    </w:p>
  </w:endnote>
  <w:endnote w:type="continuationSeparator" w:id="0">
    <w:p w14:paraId="6BE5A4FA" w14:textId="77777777" w:rsidR="00B43FA6" w:rsidRDefault="00B43FA6">
      <w:r>
        <w:continuationSeparator/>
      </w:r>
    </w:p>
  </w:endnote>
  <w:endnote w:type="continuationNotice" w:id="1">
    <w:p w14:paraId="16E4BD23" w14:textId="77777777" w:rsidR="00B43FA6" w:rsidRDefault="00B43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DD8B" w14:textId="77777777" w:rsidR="00F6003F"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EF6C490" wp14:editId="2BDF83E2">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89106BC"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695 902 088</w:t>
    </w:r>
  </w:p>
  <w:p w14:paraId="20A5D28C" w14:textId="77777777" w:rsidR="00F6003F"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AF19" w14:textId="77777777" w:rsidR="00B43FA6" w:rsidRDefault="00B43FA6">
      <w:r>
        <w:separator/>
      </w:r>
    </w:p>
  </w:footnote>
  <w:footnote w:type="continuationSeparator" w:id="0">
    <w:p w14:paraId="78BB3C21" w14:textId="77777777" w:rsidR="00B43FA6" w:rsidRDefault="00B43FA6">
      <w:r>
        <w:continuationSeparator/>
      </w:r>
    </w:p>
  </w:footnote>
  <w:footnote w:type="continuationNotice" w:id="1">
    <w:p w14:paraId="623B2D58" w14:textId="77777777" w:rsidR="00B43FA6" w:rsidRDefault="00B43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19A3" w14:textId="48464125" w:rsidR="00F6003F" w:rsidRDefault="00573FB4" w:rsidP="0041396E">
    <w:pPr>
      <w:pStyle w:val="Nagwek"/>
      <w:tabs>
        <w:tab w:val="clear" w:pos="9072"/>
      </w:tabs>
    </w:pPr>
    <w:r>
      <w:rPr>
        <w:noProof/>
        <w:color w:val="1F497D"/>
        <w:lang w:eastAsia="pl-PL"/>
      </w:rPr>
      <w:drawing>
        <wp:inline distT="0" distB="0" distL="0" distR="0" wp14:anchorId="097CF4BC" wp14:editId="19C57C82">
          <wp:extent cx="1438910" cy="548640"/>
          <wp:effectExtent l="0" t="0" r="8890" b="3810"/>
          <wp:docPr id="1" name="Obraz 1"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4"/>
  </w:num>
  <w:num w:numId="2">
    <w:abstractNumId w:val="7"/>
  </w:num>
  <w:num w:numId="3">
    <w:abstractNumId w:val="0"/>
  </w:num>
  <w:num w:numId="4">
    <w:abstractNumId w:val="11"/>
  </w:num>
  <w:num w:numId="5">
    <w:abstractNumId w:val="3"/>
  </w:num>
  <w:num w:numId="6">
    <w:abstractNumId w:val="8"/>
  </w:num>
  <w:num w:numId="7">
    <w:abstractNumId w:val="9"/>
  </w:num>
  <w:num w:numId="8">
    <w:abstractNumId w:val="1"/>
  </w:num>
  <w:num w:numId="9">
    <w:abstractNumId w:val="12"/>
  </w:num>
  <w:num w:numId="10">
    <w:abstractNumId w:val="5"/>
  </w:num>
  <w:num w:numId="11">
    <w:abstractNumId w:val="10"/>
  </w:num>
  <w:num w:numId="12">
    <w:abstractNumId w:val="6"/>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3634"/>
    <w:rsid w:val="0002523D"/>
    <w:rsid w:val="00025752"/>
    <w:rsid w:val="00027648"/>
    <w:rsid w:val="00031315"/>
    <w:rsid w:val="00037DE1"/>
    <w:rsid w:val="00040A11"/>
    <w:rsid w:val="00040EE2"/>
    <w:rsid w:val="00042F96"/>
    <w:rsid w:val="00046754"/>
    <w:rsid w:val="00047210"/>
    <w:rsid w:val="00053428"/>
    <w:rsid w:val="000651E9"/>
    <w:rsid w:val="00071D73"/>
    <w:rsid w:val="00073AA7"/>
    <w:rsid w:val="00075C33"/>
    <w:rsid w:val="00081352"/>
    <w:rsid w:val="00083D14"/>
    <w:rsid w:val="00083F82"/>
    <w:rsid w:val="00084C8A"/>
    <w:rsid w:val="000A74FA"/>
    <w:rsid w:val="000A7A91"/>
    <w:rsid w:val="000B149D"/>
    <w:rsid w:val="000B1AC5"/>
    <w:rsid w:val="000B7247"/>
    <w:rsid w:val="000B746E"/>
    <w:rsid w:val="000C0D9E"/>
    <w:rsid w:val="000E36D7"/>
    <w:rsid w:val="000E5B3E"/>
    <w:rsid w:val="000E75EA"/>
    <w:rsid w:val="0010559C"/>
    <w:rsid w:val="00105E45"/>
    <w:rsid w:val="00107844"/>
    <w:rsid w:val="00120FBD"/>
    <w:rsid w:val="001239C2"/>
    <w:rsid w:val="0012424D"/>
    <w:rsid w:val="0013159A"/>
    <w:rsid w:val="00135455"/>
    <w:rsid w:val="00135548"/>
    <w:rsid w:val="001359C1"/>
    <w:rsid w:val="00143310"/>
    <w:rsid w:val="001438C9"/>
    <w:rsid w:val="00144E9C"/>
    <w:rsid w:val="001512B3"/>
    <w:rsid w:val="00161094"/>
    <w:rsid w:val="00162293"/>
    <w:rsid w:val="00163DF9"/>
    <w:rsid w:val="00164B03"/>
    <w:rsid w:val="001666D6"/>
    <w:rsid w:val="00166B5D"/>
    <w:rsid w:val="00166F57"/>
    <w:rsid w:val="001675EF"/>
    <w:rsid w:val="00167B0A"/>
    <w:rsid w:val="0017028A"/>
    <w:rsid w:val="00170D01"/>
    <w:rsid w:val="001728A9"/>
    <w:rsid w:val="00172C94"/>
    <w:rsid w:val="00175C29"/>
    <w:rsid w:val="001829FC"/>
    <w:rsid w:val="00187C73"/>
    <w:rsid w:val="00190D5A"/>
    <w:rsid w:val="00196206"/>
    <w:rsid w:val="001979B5"/>
    <w:rsid w:val="001A3B76"/>
    <w:rsid w:val="001A5F7C"/>
    <w:rsid w:val="001A6E5B"/>
    <w:rsid w:val="001A7451"/>
    <w:rsid w:val="001C1FAD"/>
    <w:rsid w:val="001D0F6E"/>
    <w:rsid w:val="001D696C"/>
    <w:rsid w:val="001D69BC"/>
    <w:rsid w:val="001E188E"/>
    <w:rsid w:val="001E4F92"/>
    <w:rsid w:val="001F4A73"/>
    <w:rsid w:val="001F7A62"/>
    <w:rsid w:val="00205580"/>
    <w:rsid w:val="00207824"/>
    <w:rsid w:val="00207A1F"/>
    <w:rsid w:val="00207B9E"/>
    <w:rsid w:val="002157BB"/>
    <w:rsid w:val="002248D9"/>
    <w:rsid w:val="002262B5"/>
    <w:rsid w:val="0023138D"/>
    <w:rsid w:val="00240013"/>
    <w:rsid w:val="0024118E"/>
    <w:rsid w:val="00241BAC"/>
    <w:rsid w:val="002505A5"/>
    <w:rsid w:val="00260382"/>
    <w:rsid w:val="00266422"/>
    <w:rsid w:val="00266CB4"/>
    <w:rsid w:val="00267DD1"/>
    <w:rsid w:val="0027687B"/>
    <w:rsid w:val="00277ADA"/>
    <w:rsid w:val="002801AA"/>
    <w:rsid w:val="00283EA6"/>
    <w:rsid w:val="00295AF0"/>
    <w:rsid w:val="00295B34"/>
    <w:rsid w:val="002A5D69"/>
    <w:rsid w:val="002A7785"/>
    <w:rsid w:val="002B1DBF"/>
    <w:rsid w:val="002C0D5D"/>
    <w:rsid w:val="002C119B"/>
    <w:rsid w:val="002C5293"/>
    <w:rsid w:val="002C5AF4"/>
    <w:rsid w:val="002C692D"/>
    <w:rsid w:val="002C6ABE"/>
    <w:rsid w:val="002D03CB"/>
    <w:rsid w:val="002E0C0F"/>
    <w:rsid w:val="002E388C"/>
    <w:rsid w:val="002E3A34"/>
    <w:rsid w:val="002F1BF3"/>
    <w:rsid w:val="002F45F4"/>
    <w:rsid w:val="002F4BFC"/>
    <w:rsid w:val="002F4D43"/>
    <w:rsid w:val="003007C0"/>
    <w:rsid w:val="003056C6"/>
    <w:rsid w:val="00311B14"/>
    <w:rsid w:val="0031711D"/>
    <w:rsid w:val="00321512"/>
    <w:rsid w:val="00324306"/>
    <w:rsid w:val="003258C9"/>
    <w:rsid w:val="003272F2"/>
    <w:rsid w:val="003278D6"/>
    <w:rsid w:val="003303F0"/>
    <w:rsid w:val="003374C8"/>
    <w:rsid w:val="00337DF9"/>
    <w:rsid w:val="00337F23"/>
    <w:rsid w:val="0034059B"/>
    <w:rsid w:val="0035019C"/>
    <w:rsid w:val="00360248"/>
    <w:rsid w:val="0036060B"/>
    <w:rsid w:val="00360C66"/>
    <w:rsid w:val="0036624C"/>
    <w:rsid w:val="00366A46"/>
    <w:rsid w:val="00366E78"/>
    <w:rsid w:val="00370C65"/>
    <w:rsid w:val="003718A4"/>
    <w:rsid w:val="003742E4"/>
    <w:rsid w:val="003778A5"/>
    <w:rsid w:val="00377A0D"/>
    <w:rsid w:val="0038677D"/>
    <w:rsid w:val="00387682"/>
    <w:rsid w:val="00391B75"/>
    <w:rsid w:val="003A62FA"/>
    <w:rsid w:val="003B4FCD"/>
    <w:rsid w:val="003C0FE4"/>
    <w:rsid w:val="003D3FF4"/>
    <w:rsid w:val="003D7161"/>
    <w:rsid w:val="003E3F9D"/>
    <w:rsid w:val="003E4112"/>
    <w:rsid w:val="003E4746"/>
    <w:rsid w:val="003E69E5"/>
    <w:rsid w:val="003E7AA8"/>
    <w:rsid w:val="003F0278"/>
    <w:rsid w:val="003F25C3"/>
    <w:rsid w:val="00400C1F"/>
    <w:rsid w:val="00405345"/>
    <w:rsid w:val="0040748E"/>
    <w:rsid w:val="00412206"/>
    <w:rsid w:val="00412D77"/>
    <w:rsid w:val="00416DBF"/>
    <w:rsid w:val="00420B36"/>
    <w:rsid w:val="00425D3A"/>
    <w:rsid w:val="00427E08"/>
    <w:rsid w:val="004349BA"/>
    <w:rsid w:val="00435504"/>
    <w:rsid w:val="0043575C"/>
    <w:rsid w:val="004365C7"/>
    <w:rsid w:val="004425B7"/>
    <w:rsid w:val="00444A85"/>
    <w:rsid w:val="00453AFA"/>
    <w:rsid w:val="00462CFA"/>
    <w:rsid w:val="00470E30"/>
    <w:rsid w:val="00474204"/>
    <w:rsid w:val="00475B0D"/>
    <w:rsid w:val="00486DB1"/>
    <w:rsid w:val="004875FE"/>
    <w:rsid w:val="004916F0"/>
    <w:rsid w:val="00493E10"/>
    <w:rsid w:val="004941EA"/>
    <w:rsid w:val="00494534"/>
    <w:rsid w:val="004972E8"/>
    <w:rsid w:val="004A11B8"/>
    <w:rsid w:val="004B1E66"/>
    <w:rsid w:val="004B626D"/>
    <w:rsid w:val="004C0F9E"/>
    <w:rsid w:val="004C1243"/>
    <w:rsid w:val="004C5C26"/>
    <w:rsid w:val="004D16C0"/>
    <w:rsid w:val="004D1E1D"/>
    <w:rsid w:val="004D2293"/>
    <w:rsid w:val="004D24B9"/>
    <w:rsid w:val="004D5A78"/>
    <w:rsid w:val="004E3258"/>
    <w:rsid w:val="004E6345"/>
    <w:rsid w:val="004F7E99"/>
    <w:rsid w:val="005003F9"/>
    <w:rsid w:val="0050417B"/>
    <w:rsid w:val="005058BE"/>
    <w:rsid w:val="00511602"/>
    <w:rsid w:val="00512642"/>
    <w:rsid w:val="005133CE"/>
    <w:rsid w:val="005143D6"/>
    <w:rsid w:val="00521BA3"/>
    <w:rsid w:val="00523E0D"/>
    <w:rsid w:val="00525588"/>
    <w:rsid w:val="0052710E"/>
    <w:rsid w:val="0053552F"/>
    <w:rsid w:val="005442FC"/>
    <w:rsid w:val="0055183E"/>
    <w:rsid w:val="00553928"/>
    <w:rsid w:val="0055631D"/>
    <w:rsid w:val="00563DFA"/>
    <w:rsid w:val="00573FB4"/>
    <w:rsid w:val="00574468"/>
    <w:rsid w:val="005864ED"/>
    <w:rsid w:val="00593935"/>
    <w:rsid w:val="005973FD"/>
    <w:rsid w:val="00597C68"/>
    <w:rsid w:val="005A382B"/>
    <w:rsid w:val="005A4047"/>
    <w:rsid w:val="005B5AD5"/>
    <w:rsid w:val="005C0D39"/>
    <w:rsid w:val="005C6232"/>
    <w:rsid w:val="005D6122"/>
    <w:rsid w:val="005D6F7A"/>
    <w:rsid w:val="005E51B2"/>
    <w:rsid w:val="005E5B88"/>
    <w:rsid w:val="005E6A0E"/>
    <w:rsid w:val="005E78EE"/>
    <w:rsid w:val="005F139F"/>
    <w:rsid w:val="005F1EBD"/>
    <w:rsid w:val="005F25FF"/>
    <w:rsid w:val="006063D0"/>
    <w:rsid w:val="00607C7D"/>
    <w:rsid w:val="00610C83"/>
    <w:rsid w:val="00613C45"/>
    <w:rsid w:val="00616E86"/>
    <w:rsid w:val="00633D4E"/>
    <w:rsid w:val="0063526F"/>
    <w:rsid w:val="00637E86"/>
    <w:rsid w:val="00641BCE"/>
    <w:rsid w:val="006422DE"/>
    <w:rsid w:val="006439FA"/>
    <w:rsid w:val="00653551"/>
    <w:rsid w:val="00654876"/>
    <w:rsid w:val="00670BD3"/>
    <w:rsid w:val="0067485D"/>
    <w:rsid w:val="00676B19"/>
    <w:rsid w:val="006813A9"/>
    <w:rsid w:val="006928DE"/>
    <w:rsid w:val="00695697"/>
    <w:rsid w:val="006A2065"/>
    <w:rsid w:val="006A356D"/>
    <w:rsid w:val="006A3D88"/>
    <w:rsid w:val="006A4A7A"/>
    <w:rsid w:val="006B0848"/>
    <w:rsid w:val="006B733D"/>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60B0"/>
    <w:rsid w:val="0075768B"/>
    <w:rsid w:val="00761DDC"/>
    <w:rsid w:val="007627D7"/>
    <w:rsid w:val="0077200D"/>
    <w:rsid w:val="00772D80"/>
    <w:rsid w:val="00776C4F"/>
    <w:rsid w:val="007838E4"/>
    <w:rsid w:val="007846DC"/>
    <w:rsid w:val="007912E8"/>
    <w:rsid w:val="00791D59"/>
    <w:rsid w:val="00793A70"/>
    <w:rsid w:val="007951CD"/>
    <w:rsid w:val="00796768"/>
    <w:rsid w:val="007A19D8"/>
    <w:rsid w:val="007B19A9"/>
    <w:rsid w:val="007C1F92"/>
    <w:rsid w:val="007D44BC"/>
    <w:rsid w:val="007E36E4"/>
    <w:rsid w:val="007E66AA"/>
    <w:rsid w:val="007E752F"/>
    <w:rsid w:val="007F0ACE"/>
    <w:rsid w:val="00800F0E"/>
    <w:rsid w:val="00804024"/>
    <w:rsid w:val="00812AF3"/>
    <w:rsid w:val="00815387"/>
    <w:rsid w:val="00816923"/>
    <w:rsid w:val="0081753E"/>
    <w:rsid w:val="008212B2"/>
    <w:rsid w:val="008242DB"/>
    <w:rsid w:val="008253A3"/>
    <w:rsid w:val="00831779"/>
    <w:rsid w:val="0083291A"/>
    <w:rsid w:val="008331AB"/>
    <w:rsid w:val="0085010E"/>
    <w:rsid w:val="008522F7"/>
    <w:rsid w:val="0085454F"/>
    <w:rsid w:val="00870B4C"/>
    <w:rsid w:val="008717EE"/>
    <w:rsid w:val="0087354F"/>
    <w:rsid w:val="008774FA"/>
    <w:rsid w:val="00877BCA"/>
    <w:rsid w:val="00881C3D"/>
    <w:rsid w:val="00884B41"/>
    <w:rsid w:val="00896985"/>
    <w:rsid w:val="008C53D0"/>
    <w:rsid w:val="008D527A"/>
    <w:rsid w:val="008D56DA"/>
    <w:rsid w:val="008D5771"/>
    <w:rsid w:val="008E35B0"/>
    <w:rsid w:val="008E6D94"/>
    <w:rsid w:val="008F1196"/>
    <w:rsid w:val="008F432F"/>
    <w:rsid w:val="008F472E"/>
    <w:rsid w:val="00902556"/>
    <w:rsid w:val="0090255F"/>
    <w:rsid w:val="0090338C"/>
    <w:rsid w:val="0091048E"/>
    <w:rsid w:val="00913003"/>
    <w:rsid w:val="0091340B"/>
    <w:rsid w:val="009213C6"/>
    <w:rsid w:val="00924ABC"/>
    <w:rsid w:val="00933216"/>
    <w:rsid w:val="00940D57"/>
    <w:rsid w:val="00940E8F"/>
    <w:rsid w:val="00943EBD"/>
    <w:rsid w:val="0095309C"/>
    <w:rsid w:val="0095787E"/>
    <w:rsid w:val="009578D1"/>
    <w:rsid w:val="00960A21"/>
    <w:rsid w:val="00961A17"/>
    <w:rsid w:val="0096214C"/>
    <w:rsid w:val="0096305F"/>
    <w:rsid w:val="009652F2"/>
    <w:rsid w:val="009719ED"/>
    <w:rsid w:val="009740F7"/>
    <w:rsid w:val="00974BC9"/>
    <w:rsid w:val="00986C37"/>
    <w:rsid w:val="00997528"/>
    <w:rsid w:val="0099796A"/>
    <w:rsid w:val="009B5C6E"/>
    <w:rsid w:val="009C1346"/>
    <w:rsid w:val="009D05C8"/>
    <w:rsid w:val="009D5C21"/>
    <w:rsid w:val="009E3C0B"/>
    <w:rsid w:val="009E4354"/>
    <w:rsid w:val="009E558C"/>
    <w:rsid w:val="009F0BA0"/>
    <w:rsid w:val="009F60F6"/>
    <w:rsid w:val="00A02F75"/>
    <w:rsid w:val="00A076EA"/>
    <w:rsid w:val="00A11FD8"/>
    <w:rsid w:val="00A13244"/>
    <w:rsid w:val="00A17346"/>
    <w:rsid w:val="00A21BCB"/>
    <w:rsid w:val="00A239AA"/>
    <w:rsid w:val="00A23AB1"/>
    <w:rsid w:val="00A26321"/>
    <w:rsid w:val="00A274E3"/>
    <w:rsid w:val="00A439E8"/>
    <w:rsid w:val="00A45753"/>
    <w:rsid w:val="00A53423"/>
    <w:rsid w:val="00A54107"/>
    <w:rsid w:val="00A62659"/>
    <w:rsid w:val="00A64EF5"/>
    <w:rsid w:val="00A65F20"/>
    <w:rsid w:val="00A7405B"/>
    <w:rsid w:val="00A76293"/>
    <w:rsid w:val="00A77DA2"/>
    <w:rsid w:val="00A83966"/>
    <w:rsid w:val="00A85D9D"/>
    <w:rsid w:val="00A90613"/>
    <w:rsid w:val="00A92C4C"/>
    <w:rsid w:val="00AA26EE"/>
    <w:rsid w:val="00AA2B7D"/>
    <w:rsid w:val="00AA602D"/>
    <w:rsid w:val="00AB572D"/>
    <w:rsid w:val="00AB67AE"/>
    <w:rsid w:val="00AB7E24"/>
    <w:rsid w:val="00AC19CE"/>
    <w:rsid w:val="00AC48F3"/>
    <w:rsid w:val="00AD1E09"/>
    <w:rsid w:val="00AD6D86"/>
    <w:rsid w:val="00AE2923"/>
    <w:rsid w:val="00AE6E67"/>
    <w:rsid w:val="00AE7149"/>
    <w:rsid w:val="00AE7F9D"/>
    <w:rsid w:val="00AF1794"/>
    <w:rsid w:val="00B00C77"/>
    <w:rsid w:val="00B028F7"/>
    <w:rsid w:val="00B06151"/>
    <w:rsid w:val="00B075C5"/>
    <w:rsid w:val="00B103F1"/>
    <w:rsid w:val="00B13F20"/>
    <w:rsid w:val="00B22863"/>
    <w:rsid w:val="00B22865"/>
    <w:rsid w:val="00B26FC0"/>
    <w:rsid w:val="00B3387B"/>
    <w:rsid w:val="00B376A2"/>
    <w:rsid w:val="00B400D5"/>
    <w:rsid w:val="00B41502"/>
    <w:rsid w:val="00B42BB8"/>
    <w:rsid w:val="00B43FA6"/>
    <w:rsid w:val="00B45A4D"/>
    <w:rsid w:val="00B51024"/>
    <w:rsid w:val="00B512B5"/>
    <w:rsid w:val="00B5746D"/>
    <w:rsid w:val="00B60CD8"/>
    <w:rsid w:val="00B60F9C"/>
    <w:rsid w:val="00B657E9"/>
    <w:rsid w:val="00B6769E"/>
    <w:rsid w:val="00B73F22"/>
    <w:rsid w:val="00B760EA"/>
    <w:rsid w:val="00B76F9A"/>
    <w:rsid w:val="00B774D3"/>
    <w:rsid w:val="00B810B2"/>
    <w:rsid w:val="00B95DA9"/>
    <w:rsid w:val="00B96EC0"/>
    <w:rsid w:val="00BA26F7"/>
    <w:rsid w:val="00BA79F0"/>
    <w:rsid w:val="00BB085B"/>
    <w:rsid w:val="00BB2C48"/>
    <w:rsid w:val="00BB5068"/>
    <w:rsid w:val="00BB7AE8"/>
    <w:rsid w:val="00BC7B01"/>
    <w:rsid w:val="00BD0481"/>
    <w:rsid w:val="00BD4447"/>
    <w:rsid w:val="00BE2623"/>
    <w:rsid w:val="00BE3923"/>
    <w:rsid w:val="00BE4BF0"/>
    <w:rsid w:val="00BE5EE5"/>
    <w:rsid w:val="00BE68EE"/>
    <w:rsid w:val="00BE7248"/>
    <w:rsid w:val="00BE7F63"/>
    <w:rsid w:val="00BF45FB"/>
    <w:rsid w:val="00C01FD5"/>
    <w:rsid w:val="00C1137E"/>
    <w:rsid w:val="00C123B1"/>
    <w:rsid w:val="00C16E0F"/>
    <w:rsid w:val="00C21071"/>
    <w:rsid w:val="00C2398C"/>
    <w:rsid w:val="00C24A19"/>
    <w:rsid w:val="00C25569"/>
    <w:rsid w:val="00C27366"/>
    <w:rsid w:val="00C3383E"/>
    <w:rsid w:val="00C3587D"/>
    <w:rsid w:val="00C44BD8"/>
    <w:rsid w:val="00C54BD2"/>
    <w:rsid w:val="00C6164A"/>
    <w:rsid w:val="00C63AA8"/>
    <w:rsid w:val="00C66CA1"/>
    <w:rsid w:val="00C755A2"/>
    <w:rsid w:val="00C7783C"/>
    <w:rsid w:val="00C77F47"/>
    <w:rsid w:val="00C81210"/>
    <w:rsid w:val="00C83572"/>
    <w:rsid w:val="00C95607"/>
    <w:rsid w:val="00CA6757"/>
    <w:rsid w:val="00CA6B58"/>
    <w:rsid w:val="00CB1AE6"/>
    <w:rsid w:val="00CB3ED4"/>
    <w:rsid w:val="00CB3F86"/>
    <w:rsid w:val="00CB7033"/>
    <w:rsid w:val="00CC2D08"/>
    <w:rsid w:val="00CD34F0"/>
    <w:rsid w:val="00CE0954"/>
    <w:rsid w:val="00CF11F7"/>
    <w:rsid w:val="00D03C98"/>
    <w:rsid w:val="00D106CC"/>
    <w:rsid w:val="00D10919"/>
    <w:rsid w:val="00D12EE3"/>
    <w:rsid w:val="00D1323F"/>
    <w:rsid w:val="00D15E0B"/>
    <w:rsid w:val="00D202BA"/>
    <w:rsid w:val="00D217E6"/>
    <w:rsid w:val="00D21E3B"/>
    <w:rsid w:val="00D251AC"/>
    <w:rsid w:val="00D36DE4"/>
    <w:rsid w:val="00D43766"/>
    <w:rsid w:val="00D47CCF"/>
    <w:rsid w:val="00D579E3"/>
    <w:rsid w:val="00D630B2"/>
    <w:rsid w:val="00D6457B"/>
    <w:rsid w:val="00D66DEC"/>
    <w:rsid w:val="00D71A41"/>
    <w:rsid w:val="00D7606C"/>
    <w:rsid w:val="00D768A4"/>
    <w:rsid w:val="00D77B4F"/>
    <w:rsid w:val="00D81BBD"/>
    <w:rsid w:val="00D901B2"/>
    <w:rsid w:val="00D92773"/>
    <w:rsid w:val="00D92F52"/>
    <w:rsid w:val="00DA1A73"/>
    <w:rsid w:val="00DA753F"/>
    <w:rsid w:val="00DC0678"/>
    <w:rsid w:val="00DC182C"/>
    <w:rsid w:val="00DC2A07"/>
    <w:rsid w:val="00DC5754"/>
    <w:rsid w:val="00DD055E"/>
    <w:rsid w:val="00DD34A3"/>
    <w:rsid w:val="00DD6056"/>
    <w:rsid w:val="00DE6DAB"/>
    <w:rsid w:val="00DE7627"/>
    <w:rsid w:val="00DE7C6A"/>
    <w:rsid w:val="00DF2857"/>
    <w:rsid w:val="00DF782B"/>
    <w:rsid w:val="00E03AEF"/>
    <w:rsid w:val="00E05108"/>
    <w:rsid w:val="00E102DE"/>
    <w:rsid w:val="00E11CFA"/>
    <w:rsid w:val="00E1267F"/>
    <w:rsid w:val="00E17B50"/>
    <w:rsid w:val="00E2169E"/>
    <w:rsid w:val="00E24825"/>
    <w:rsid w:val="00E24C46"/>
    <w:rsid w:val="00E30B56"/>
    <w:rsid w:val="00E42093"/>
    <w:rsid w:val="00E45923"/>
    <w:rsid w:val="00E465B3"/>
    <w:rsid w:val="00E5028C"/>
    <w:rsid w:val="00E522AD"/>
    <w:rsid w:val="00E614A4"/>
    <w:rsid w:val="00E64103"/>
    <w:rsid w:val="00E76CD1"/>
    <w:rsid w:val="00E81454"/>
    <w:rsid w:val="00E83A43"/>
    <w:rsid w:val="00E86183"/>
    <w:rsid w:val="00E87B6E"/>
    <w:rsid w:val="00E907FE"/>
    <w:rsid w:val="00E92232"/>
    <w:rsid w:val="00E93358"/>
    <w:rsid w:val="00E95BF3"/>
    <w:rsid w:val="00EA3C7C"/>
    <w:rsid w:val="00EA69F6"/>
    <w:rsid w:val="00EA761E"/>
    <w:rsid w:val="00EC2A1F"/>
    <w:rsid w:val="00EC688E"/>
    <w:rsid w:val="00EC6DAA"/>
    <w:rsid w:val="00ED06EF"/>
    <w:rsid w:val="00EE2454"/>
    <w:rsid w:val="00EE4AD8"/>
    <w:rsid w:val="00EF3590"/>
    <w:rsid w:val="00EF4CD8"/>
    <w:rsid w:val="00EF68F2"/>
    <w:rsid w:val="00EF6F40"/>
    <w:rsid w:val="00F139AC"/>
    <w:rsid w:val="00F170E1"/>
    <w:rsid w:val="00F21EAC"/>
    <w:rsid w:val="00F22B64"/>
    <w:rsid w:val="00F25BD4"/>
    <w:rsid w:val="00F26377"/>
    <w:rsid w:val="00F3243D"/>
    <w:rsid w:val="00F41C1E"/>
    <w:rsid w:val="00F41C3C"/>
    <w:rsid w:val="00F46D0D"/>
    <w:rsid w:val="00F5511B"/>
    <w:rsid w:val="00F55576"/>
    <w:rsid w:val="00F6003F"/>
    <w:rsid w:val="00F7235E"/>
    <w:rsid w:val="00F752AE"/>
    <w:rsid w:val="00F765B4"/>
    <w:rsid w:val="00F77735"/>
    <w:rsid w:val="00F91F7A"/>
    <w:rsid w:val="00F92B59"/>
    <w:rsid w:val="00F94260"/>
    <w:rsid w:val="00F948BC"/>
    <w:rsid w:val="00F960CF"/>
    <w:rsid w:val="00FA10A3"/>
    <w:rsid w:val="00FA1226"/>
    <w:rsid w:val="00FA1500"/>
    <w:rsid w:val="00FA35FE"/>
    <w:rsid w:val="00FD09D8"/>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1807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semiHidden/>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oncentracje.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070B-690F-4E3E-8929-2719AB0A848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C9D8E4-C251-42B8-A976-3551EA99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3336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Anna Dymkowska</cp:lastModifiedBy>
  <cp:revision>4</cp:revision>
  <cp:lastPrinted>2023-08-18T11:59:00Z</cp:lastPrinted>
  <dcterms:created xsi:type="dcterms:W3CDTF">2023-10-02T14:20:00Z</dcterms:created>
  <dcterms:modified xsi:type="dcterms:W3CDTF">2023-10-02T14:48:00Z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ea6270df-3774-49bc-a284-c8d251ffe1cc</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