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EED8" w14:textId="149BD966" w:rsidR="00EA3C7C" w:rsidRDefault="00EA3C7C" w:rsidP="00EA3C7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ZGODA WARUNKOWA NA RYNKU FARMACEUTYCZNYM  </w:t>
      </w:r>
    </w:p>
    <w:p w14:paraId="6BF8AEC1" w14:textId="2291CA3E" w:rsidR="00EA3C7C" w:rsidRDefault="00EA3C7C" w:rsidP="00EA3C7C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 xml:space="preserve">Prezes UOKiK Tomasz </w:t>
      </w:r>
      <w:proofErr w:type="spellStart"/>
      <w:r>
        <w:rPr>
          <w:b/>
          <w:kern w:val="3"/>
          <w:sz w:val="22"/>
        </w:rPr>
        <w:t>Chróstny</w:t>
      </w:r>
      <w:proofErr w:type="spellEnd"/>
      <w:r>
        <w:rPr>
          <w:b/>
          <w:kern w:val="3"/>
          <w:sz w:val="22"/>
        </w:rPr>
        <w:t xml:space="preserve"> </w:t>
      </w:r>
      <w:r w:rsidR="00DA1A73">
        <w:rPr>
          <w:b/>
          <w:kern w:val="3"/>
          <w:sz w:val="22"/>
        </w:rPr>
        <w:t>wydał dwie decyzje warunkowe</w:t>
      </w:r>
      <w:r w:rsidR="003E4112">
        <w:rPr>
          <w:b/>
          <w:kern w:val="3"/>
          <w:sz w:val="22"/>
        </w:rPr>
        <w:t>.</w:t>
      </w:r>
    </w:p>
    <w:p w14:paraId="3E551D98" w14:textId="5D8F8598" w:rsidR="00EA3C7C" w:rsidRDefault="00DA1A73" w:rsidP="00EA3C7C">
      <w:pPr>
        <w:numPr>
          <w:ilvl w:val="0"/>
          <w:numId w:val="13"/>
        </w:numPr>
        <w:spacing w:line="360" w:lineRule="auto"/>
        <w:jc w:val="both"/>
        <w:rPr>
          <w:b/>
          <w:kern w:val="3"/>
          <w:sz w:val="22"/>
        </w:rPr>
      </w:pPr>
      <w:proofErr w:type="spellStart"/>
      <w:r>
        <w:rPr>
          <w:b/>
          <w:kern w:val="3"/>
          <w:sz w:val="22"/>
        </w:rPr>
        <w:t>Gemini</w:t>
      </w:r>
      <w:proofErr w:type="spellEnd"/>
      <w:r>
        <w:rPr>
          <w:b/>
          <w:kern w:val="3"/>
          <w:sz w:val="22"/>
        </w:rPr>
        <w:t xml:space="preserve"> Polska może przejąć spółki Apteka Wrzeszcz</w:t>
      </w:r>
      <w:r w:rsidR="00EA3C7C">
        <w:rPr>
          <w:b/>
          <w:kern w:val="3"/>
          <w:sz w:val="22"/>
        </w:rPr>
        <w:t xml:space="preserve"> </w:t>
      </w:r>
      <w:r>
        <w:rPr>
          <w:b/>
          <w:kern w:val="3"/>
          <w:sz w:val="22"/>
        </w:rPr>
        <w:t>i Apteka Trójmiasto pod warunkiem sprzedaży trzech aptek.</w:t>
      </w:r>
    </w:p>
    <w:p w14:paraId="625D373E" w14:textId="4E0880AB" w:rsidR="00EA3C7C" w:rsidRDefault="00EA3C7C" w:rsidP="00EA3C7C">
      <w:pPr>
        <w:numPr>
          <w:ilvl w:val="0"/>
          <w:numId w:val="13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 xml:space="preserve">Dzięki temu </w:t>
      </w:r>
      <w:r w:rsidR="00DA1A73">
        <w:rPr>
          <w:b/>
          <w:kern w:val="3"/>
          <w:sz w:val="22"/>
        </w:rPr>
        <w:t>nie zostanie naruszona konkurencja na lokalnych rynkach w Gdańsku, Starogardzie Gdańskim i Suwałkach.</w:t>
      </w:r>
    </w:p>
    <w:p w14:paraId="06753694" w14:textId="27C8400C" w:rsidR="0091340B" w:rsidRPr="00B96EC0" w:rsidRDefault="00EA3C7C" w:rsidP="004916F0">
      <w:pPr>
        <w:spacing w:after="240" w:line="360" w:lineRule="auto"/>
        <w:contextualSpacing/>
        <w:jc w:val="both"/>
        <w:rPr>
          <w:color w:val="000000" w:themeColor="text1"/>
          <w:sz w:val="22"/>
        </w:rPr>
      </w:pPr>
      <w:r w:rsidRPr="00B96EC0">
        <w:rPr>
          <w:sz w:val="22"/>
        </w:rPr>
        <w:t xml:space="preserve">[Warszawa, </w:t>
      </w:r>
      <w:r w:rsidR="00E92232" w:rsidRPr="00B96EC0">
        <w:rPr>
          <w:sz w:val="22"/>
        </w:rPr>
        <w:t>września 2023</w:t>
      </w:r>
      <w:r w:rsidRPr="00B96EC0">
        <w:rPr>
          <w:sz w:val="22"/>
        </w:rPr>
        <w:t xml:space="preserve"> r.] </w:t>
      </w:r>
      <w:proofErr w:type="spellStart"/>
      <w:r w:rsidR="0091340B" w:rsidRPr="00B96EC0">
        <w:rPr>
          <w:color w:val="000000" w:themeColor="text1"/>
          <w:sz w:val="22"/>
        </w:rPr>
        <w:t>Gemini</w:t>
      </w:r>
      <w:proofErr w:type="spellEnd"/>
      <w:r w:rsidR="0091340B" w:rsidRPr="00B96EC0">
        <w:rPr>
          <w:color w:val="000000" w:themeColor="text1"/>
          <w:sz w:val="22"/>
        </w:rPr>
        <w:t xml:space="preserve"> Polska </w:t>
      </w:r>
      <w:r w:rsidR="004E6345" w:rsidRPr="00B96EC0">
        <w:rPr>
          <w:color w:val="000000" w:themeColor="text1"/>
          <w:sz w:val="22"/>
        </w:rPr>
        <w:t>p</w:t>
      </w:r>
      <w:r w:rsidR="0091340B" w:rsidRPr="00B96EC0">
        <w:rPr>
          <w:color w:val="000000" w:themeColor="text1"/>
          <w:sz w:val="22"/>
        </w:rPr>
        <w:t xml:space="preserve">osiada </w:t>
      </w:r>
      <w:r w:rsidR="002D03CB">
        <w:rPr>
          <w:color w:val="000000" w:themeColor="text1"/>
          <w:sz w:val="22"/>
        </w:rPr>
        <w:t>96</w:t>
      </w:r>
      <w:r w:rsidR="0091340B" w:rsidRPr="00B96EC0">
        <w:rPr>
          <w:color w:val="000000" w:themeColor="text1"/>
          <w:sz w:val="22"/>
        </w:rPr>
        <w:t xml:space="preserve"> aptek własnych oraz jest organizatorem sieci franczyzowej obejmującej 1</w:t>
      </w:r>
      <w:r w:rsidR="002D03CB">
        <w:rPr>
          <w:color w:val="000000" w:themeColor="text1"/>
          <w:sz w:val="22"/>
        </w:rPr>
        <w:t>80</w:t>
      </w:r>
      <w:r w:rsidR="0091340B" w:rsidRPr="00B96EC0">
        <w:rPr>
          <w:color w:val="000000" w:themeColor="text1"/>
          <w:sz w:val="22"/>
        </w:rPr>
        <w:t xml:space="preserve"> aptek</w:t>
      </w:r>
      <w:r w:rsidR="00E92232" w:rsidRPr="00B96EC0">
        <w:rPr>
          <w:color w:val="000000" w:themeColor="text1"/>
          <w:sz w:val="22"/>
        </w:rPr>
        <w:t>.</w:t>
      </w:r>
      <w:r w:rsidR="00B96EC0" w:rsidRPr="00B96EC0">
        <w:rPr>
          <w:color w:val="000000" w:themeColor="text1"/>
          <w:sz w:val="22"/>
        </w:rPr>
        <w:t xml:space="preserve"> </w:t>
      </w:r>
      <w:r w:rsidR="0091340B" w:rsidRPr="00B96EC0">
        <w:rPr>
          <w:color w:val="000000" w:themeColor="text1"/>
          <w:sz w:val="22"/>
        </w:rPr>
        <w:t>Apteka Wrzeszcz prowadzi 16 aptek w 9 miastach</w:t>
      </w:r>
      <w:r w:rsidR="004E6345" w:rsidRPr="00B96EC0">
        <w:rPr>
          <w:color w:val="000000" w:themeColor="text1"/>
          <w:sz w:val="22"/>
        </w:rPr>
        <w:t xml:space="preserve">. </w:t>
      </w:r>
      <w:r w:rsidR="0091340B" w:rsidRPr="00B96EC0">
        <w:rPr>
          <w:color w:val="000000" w:themeColor="text1"/>
          <w:kern w:val="20"/>
          <w:sz w:val="22"/>
        </w:rPr>
        <w:t xml:space="preserve">Apteka Trójmiasto posiada 20 aptek w 12 miastach. </w:t>
      </w:r>
      <w:r w:rsidR="004E6345" w:rsidRPr="00B96EC0">
        <w:rPr>
          <w:color w:val="000000" w:themeColor="text1"/>
          <w:sz w:val="22"/>
        </w:rPr>
        <w:t xml:space="preserve">Wszystkie apteki należące do przejmowanych spółek należą </w:t>
      </w:r>
      <w:r w:rsidR="004E6345" w:rsidRPr="00B96EC0">
        <w:rPr>
          <w:color w:val="000000" w:themeColor="text1"/>
          <w:kern w:val="20"/>
          <w:sz w:val="22"/>
        </w:rPr>
        <w:t xml:space="preserve">do sieci franczyzowej organizowanej przez </w:t>
      </w:r>
      <w:proofErr w:type="spellStart"/>
      <w:r w:rsidR="004E6345" w:rsidRPr="00B96EC0">
        <w:rPr>
          <w:color w:val="000000" w:themeColor="text1"/>
          <w:kern w:val="20"/>
          <w:sz w:val="22"/>
        </w:rPr>
        <w:t>Gemini</w:t>
      </w:r>
      <w:proofErr w:type="spellEnd"/>
      <w:r w:rsidR="004E6345" w:rsidRPr="00B96EC0">
        <w:rPr>
          <w:color w:val="000000" w:themeColor="text1"/>
          <w:kern w:val="20"/>
          <w:sz w:val="22"/>
        </w:rPr>
        <w:t xml:space="preserve"> Polska i prowadzone są pod szyldem „</w:t>
      </w:r>
      <w:proofErr w:type="spellStart"/>
      <w:r w:rsidR="004E6345" w:rsidRPr="00B96EC0">
        <w:rPr>
          <w:color w:val="000000" w:themeColor="text1"/>
          <w:kern w:val="20"/>
          <w:sz w:val="22"/>
        </w:rPr>
        <w:t>Gemini</w:t>
      </w:r>
      <w:proofErr w:type="spellEnd"/>
      <w:r w:rsidR="004E6345" w:rsidRPr="00B96EC0">
        <w:rPr>
          <w:color w:val="000000" w:themeColor="text1"/>
          <w:kern w:val="20"/>
          <w:sz w:val="22"/>
        </w:rPr>
        <w:t>”.</w:t>
      </w:r>
      <w:r w:rsidR="004B626D" w:rsidRPr="00B96EC0">
        <w:rPr>
          <w:color w:val="000000" w:themeColor="text1"/>
          <w:kern w:val="20"/>
          <w:sz w:val="22"/>
        </w:rPr>
        <w:t xml:space="preserve"> </w:t>
      </w:r>
    </w:p>
    <w:p w14:paraId="7EB950BC" w14:textId="2D20BF61" w:rsidR="009E4354" w:rsidRPr="00B96EC0" w:rsidRDefault="00E614A4" w:rsidP="001D696C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</w:pPr>
      <w:r w:rsidRPr="00B96EC0">
        <w:rPr>
          <w:rFonts w:ascii="Trebuchet MS" w:hAnsi="Trebuchet MS"/>
          <w:color w:val="000000" w:themeColor="text1"/>
          <w:kern w:val="3"/>
          <w:sz w:val="22"/>
          <w:szCs w:val="22"/>
        </w:rPr>
        <w:t>W trakcie postępowania, podobnie jak we wcześniejszych decyzjach dotyczących koncentracji na rynku farmaceutycznym, przyjęto, że apteki konkurują ze sobą</w:t>
      </w:r>
      <w:r w:rsidR="009E4354" w:rsidRPr="00B96EC0">
        <w:rPr>
          <w:rFonts w:ascii="Trebuchet MS" w:hAnsi="Trebuchet MS"/>
          <w:color w:val="000000" w:themeColor="text1"/>
          <w:kern w:val="3"/>
          <w:sz w:val="22"/>
          <w:szCs w:val="22"/>
        </w:rPr>
        <w:t xml:space="preserve"> </w:t>
      </w:r>
      <w:r w:rsidR="009E4354" w:rsidRPr="00B96EC0">
        <w:rPr>
          <w:rFonts w:ascii="Trebuchet MS" w:hAnsi="Trebuchet MS" w:cs="Tahoma"/>
          <w:color w:val="000000" w:themeColor="text1"/>
          <w:sz w:val="22"/>
          <w:szCs w:val="22"/>
        </w:rPr>
        <w:t xml:space="preserve">na obszarze kilometra. </w:t>
      </w:r>
      <w:r w:rsidR="009E4354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Wynika to z faktu, że konsumenci najczęściej wybierają apteki w pobliżu miejsca zamieszkania, pracy lub przychodni, gdzie większość z nich chodzi pieszo. Dojeżdżają zazwyczaj jedynie mieszkańcy miejscowości, w których nie ma aptek.</w:t>
      </w:r>
    </w:p>
    <w:p w14:paraId="1B46A555" w14:textId="0C21484B" w:rsidR="004E6345" w:rsidRPr="00B96EC0" w:rsidRDefault="004E6345" w:rsidP="001D696C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</w:pPr>
      <w:r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Ponad</w:t>
      </w:r>
      <w:r w:rsidR="00B96EC0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t</w:t>
      </w:r>
      <w:r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o analiza UOKiK wykazała, </w:t>
      </w:r>
      <w:r w:rsidR="00EF4CD8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ż</w:t>
      </w:r>
      <w:r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e pomimo tego, że przejmowane apteki należą  do sieci franczyzowej przejmującej spółki </w:t>
      </w:r>
      <w:r w:rsidR="00400C1F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to stanowią konkurencję dla aptek własnych </w:t>
      </w:r>
      <w:proofErr w:type="spellStart"/>
      <w:r w:rsidR="00400C1F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Gemini</w:t>
      </w:r>
      <w:proofErr w:type="spellEnd"/>
      <w:r w:rsidR="00400C1F" w:rsidRPr="00B96EC0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 Polska</w:t>
      </w:r>
    </w:p>
    <w:p w14:paraId="60F1C74F" w14:textId="205F7EB4" w:rsidR="0031711D" w:rsidRPr="00B96EC0" w:rsidRDefault="009E4354" w:rsidP="001D696C">
      <w:pPr>
        <w:spacing w:after="240" w:line="360" w:lineRule="auto"/>
        <w:jc w:val="both"/>
        <w:rPr>
          <w:kern w:val="3"/>
          <w:sz w:val="22"/>
        </w:rPr>
      </w:pPr>
      <w:r w:rsidRPr="00B96EC0">
        <w:rPr>
          <w:kern w:val="3"/>
          <w:sz w:val="22"/>
        </w:rPr>
        <w:t xml:space="preserve">- </w:t>
      </w:r>
      <w:r w:rsidRPr="00B96EC0">
        <w:rPr>
          <w:i/>
          <w:kern w:val="3"/>
          <w:sz w:val="22"/>
        </w:rPr>
        <w:t>Nasza a</w:t>
      </w:r>
      <w:r w:rsidR="00E614A4" w:rsidRPr="00B96EC0">
        <w:rPr>
          <w:i/>
          <w:kern w:val="3"/>
          <w:sz w:val="22"/>
        </w:rPr>
        <w:t>naliza</w:t>
      </w:r>
      <w:r w:rsidRPr="00B96EC0">
        <w:rPr>
          <w:i/>
          <w:kern w:val="3"/>
          <w:sz w:val="22"/>
        </w:rPr>
        <w:t xml:space="preserve"> lokalnych</w:t>
      </w:r>
      <w:r w:rsidR="00E614A4" w:rsidRPr="00B96EC0">
        <w:rPr>
          <w:i/>
          <w:kern w:val="3"/>
          <w:sz w:val="22"/>
        </w:rPr>
        <w:t xml:space="preserve"> rynk</w:t>
      </w:r>
      <w:r w:rsidRPr="00B96EC0">
        <w:rPr>
          <w:i/>
          <w:kern w:val="3"/>
          <w:sz w:val="22"/>
        </w:rPr>
        <w:t>ów</w:t>
      </w:r>
      <w:r w:rsidR="00E614A4" w:rsidRPr="00B96EC0">
        <w:rPr>
          <w:i/>
          <w:kern w:val="3"/>
          <w:sz w:val="22"/>
        </w:rPr>
        <w:t xml:space="preserve"> </w:t>
      </w:r>
      <w:r w:rsidRPr="00B96EC0">
        <w:rPr>
          <w:i/>
          <w:kern w:val="3"/>
          <w:sz w:val="22"/>
        </w:rPr>
        <w:t>wykazała</w:t>
      </w:r>
      <w:r w:rsidR="00E614A4" w:rsidRPr="00B96EC0">
        <w:rPr>
          <w:i/>
          <w:kern w:val="3"/>
          <w:sz w:val="22"/>
        </w:rPr>
        <w:t xml:space="preserve">, że </w:t>
      </w:r>
      <w:r w:rsidR="00ED06EF">
        <w:rPr>
          <w:i/>
          <w:kern w:val="3"/>
          <w:sz w:val="22"/>
        </w:rPr>
        <w:t xml:space="preserve">na </w:t>
      </w:r>
      <w:r w:rsidR="00E614A4" w:rsidRPr="00B96EC0">
        <w:rPr>
          <w:i/>
          <w:kern w:val="3"/>
          <w:sz w:val="22"/>
        </w:rPr>
        <w:t xml:space="preserve"> </w:t>
      </w:r>
      <w:r w:rsidR="004916F0">
        <w:rPr>
          <w:i/>
          <w:kern w:val="3"/>
          <w:sz w:val="22"/>
        </w:rPr>
        <w:t>kilku</w:t>
      </w:r>
      <w:r w:rsidRPr="00B96EC0">
        <w:rPr>
          <w:i/>
          <w:kern w:val="3"/>
          <w:sz w:val="22"/>
        </w:rPr>
        <w:t xml:space="preserve"> z nich może dojść do ograniczenia konkurencji. </w:t>
      </w:r>
      <w:r w:rsidR="00400C1F" w:rsidRPr="00B96EC0">
        <w:rPr>
          <w:i/>
          <w:kern w:val="3"/>
          <w:sz w:val="22"/>
        </w:rPr>
        <w:t>Jednak</w:t>
      </w:r>
      <w:r w:rsidR="0031711D" w:rsidRPr="00B96EC0">
        <w:rPr>
          <w:i/>
          <w:kern w:val="3"/>
          <w:sz w:val="22"/>
        </w:rPr>
        <w:t xml:space="preserve"> sprzedaż </w:t>
      </w:r>
      <w:r w:rsidR="00400C1F" w:rsidRPr="00B96EC0">
        <w:rPr>
          <w:i/>
          <w:kern w:val="3"/>
          <w:sz w:val="22"/>
        </w:rPr>
        <w:t xml:space="preserve">trzech </w:t>
      </w:r>
      <w:r w:rsidR="0031711D" w:rsidRPr="00B96EC0">
        <w:rPr>
          <w:i/>
          <w:kern w:val="3"/>
          <w:sz w:val="22"/>
        </w:rPr>
        <w:t>aptek zapobiegnie negatywnym skutkom transakcji, któr</w:t>
      </w:r>
      <w:r w:rsidR="00040EE2">
        <w:rPr>
          <w:i/>
          <w:kern w:val="3"/>
          <w:sz w:val="22"/>
        </w:rPr>
        <w:t xml:space="preserve">e </w:t>
      </w:r>
      <w:bookmarkStart w:id="0" w:name="_GoBack"/>
      <w:bookmarkEnd w:id="0"/>
      <w:r w:rsidR="0031711D" w:rsidRPr="00B96EC0">
        <w:rPr>
          <w:i/>
          <w:kern w:val="3"/>
          <w:sz w:val="22"/>
        </w:rPr>
        <w:t xml:space="preserve">mogły być odczuwalne dla konsumentów w Gdańsku, Starogardzie Gdańskim i Suwałkach </w:t>
      </w:r>
      <w:r w:rsidR="0031711D" w:rsidRPr="00B96EC0">
        <w:rPr>
          <w:kern w:val="3"/>
          <w:sz w:val="22"/>
        </w:rPr>
        <w:t xml:space="preserve">– mówi Prezes UOKiK Tomasz </w:t>
      </w:r>
      <w:proofErr w:type="spellStart"/>
      <w:r w:rsidR="0031711D" w:rsidRPr="00B96EC0">
        <w:rPr>
          <w:kern w:val="3"/>
          <w:sz w:val="22"/>
        </w:rPr>
        <w:t>Chróstny</w:t>
      </w:r>
      <w:proofErr w:type="spellEnd"/>
      <w:r w:rsidR="0031711D" w:rsidRPr="00B96EC0">
        <w:rPr>
          <w:kern w:val="3"/>
          <w:sz w:val="22"/>
        </w:rPr>
        <w:t>.</w:t>
      </w:r>
    </w:p>
    <w:p w14:paraId="7D46404F" w14:textId="65899BE2" w:rsidR="005864ED" w:rsidRPr="001D696C" w:rsidRDefault="0031711D" w:rsidP="001D696C">
      <w:pPr>
        <w:spacing w:after="240" w:line="360" w:lineRule="auto"/>
        <w:jc w:val="both"/>
        <w:rPr>
          <w:sz w:val="22"/>
        </w:rPr>
      </w:pPr>
      <w:r w:rsidRPr="00B96EC0">
        <w:rPr>
          <w:kern w:val="3"/>
          <w:sz w:val="22"/>
        </w:rPr>
        <w:t>Zgodnie z nałożonym warunkiem w decyzji dotyczącej Apteka Wrzeszcz</w:t>
      </w:r>
      <w:r w:rsidR="00ED06EF">
        <w:rPr>
          <w:kern w:val="3"/>
          <w:sz w:val="22"/>
        </w:rPr>
        <w:t xml:space="preserve"> - </w:t>
      </w:r>
      <w:proofErr w:type="spellStart"/>
      <w:r w:rsidRPr="00B96EC0">
        <w:rPr>
          <w:kern w:val="3"/>
          <w:sz w:val="22"/>
        </w:rPr>
        <w:t>Gemini</w:t>
      </w:r>
      <w:proofErr w:type="spellEnd"/>
      <w:r w:rsidRPr="00B96EC0">
        <w:rPr>
          <w:kern w:val="3"/>
          <w:sz w:val="22"/>
        </w:rPr>
        <w:t xml:space="preserve"> Polska musi sprzedać aptekę położoną w Gdańsku przy ul. Obrońców Wybrzeża </w:t>
      </w:r>
      <w:r w:rsidR="006A356D" w:rsidRPr="00B96EC0">
        <w:rPr>
          <w:kern w:val="3"/>
          <w:sz w:val="22"/>
        </w:rPr>
        <w:t>2.</w:t>
      </w:r>
      <w:r w:rsidR="008242DB" w:rsidRPr="00B96EC0">
        <w:rPr>
          <w:kern w:val="3"/>
          <w:sz w:val="22"/>
        </w:rPr>
        <w:t xml:space="preserve"> Natomiast warunkiem przejęcia</w:t>
      </w:r>
      <w:r w:rsidR="00ED06EF">
        <w:rPr>
          <w:kern w:val="3"/>
          <w:sz w:val="22"/>
        </w:rPr>
        <w:t xml:space="preserve"> spółki</w:t>
      </w:r>
      <w:r w:rsidR="008242DB" w:rsidRPr="00B96EC0">
        <w:rPr>
          <w:kern w:val="3"/>
          <w:sz w:val="22"/>
        </w:rPr>
        <w:t xml:space="preserve"> </w:t>
      </w:r>
      <w:r w:rsidR="005864ED" w:rsidRPr="00B96EC0">
        <w:rPr>
          <w:kern w:val="3"/>
          <w:sz w:val="22"/>
        </w:rPr>
        <w:t>Aptek</w:t>
      </w:r>
      <w:r w:rsidR="00ED06EF">
        <w:rPr>
          <w:kern w:val="3"/>
          <w:sz w:val="22"/>
        </w:rPr>
        <w:t>a</w:t>
      </w:r>
      <w:r w:rsidR="005864ED" w:rsidRPr="00B96EC0">
        <w:rPr>
          <w:kern w:val="3"/>
          <w:sz w:val="22"/>
        </w:rPr>
        <w:t xml:space="preserve"> Trójmiasto jest sprzedaż aptek w</w:t>
      </w:r>
      <w:r w:rsidR="005864ED" w:rsidRPr="001D696C">
        <w:rPr>
          <w:b/>
          <w:kern w:val="3"/>
          <w:sz w:val="22"/>
        </w:rPr>
        <w:t xml:space="preserve"> </w:t>
      </w:r>
      <w:r w:rsidR="005864ED" w:rsidRPr="001D696C">
        <w:rPr>
          <w:sz w:val="22"/>
        </w:rPr>
        <w:t xml:space="preserve">Starogardzie Gdańskim przy ul. Hallera 19C oraz w Suwałkach przy ul. 1 Maja 6. </w:t>
      </w:r>
      <w:r w:rsidR="005864ED" w:rsidRPr="001D696C">
        <w:rPr>
          <w:rFonts w:cs="Tahoma"/>
          <w:color w:val="000000" w:themeColor="text1"/>
          <w:sz w:val="22"/>
          <w:shd w:val="clear" w:color="auto" w:fill="FFFFFF"/>
        </w:rPr>
        <w:t xml:space="preserve">Nabywca nie może należeć do tej samej grupy kapitałowej co </w:t>
      </w:r>
      <w:proofErr w:type="spellStart"/>
      <w:r w:rsidR="00ED06EF">
        <w:rPr>
          <w:rFonts w:cs="Tahoma"/>
          <w:color w:val="000000" w:themeColor="text1"/>
          <w:sz w:val="22"/>
          <w:shd w:val="clear" w:color="auto" w:fill="FFFFFF"/>
        </w:rPr>
        <w:t>Gemini</w:t>
      </w:r>
      <w:proofErr w:type="spellEnd"/>
      <w:r w:rsidR="00ED06EF">
        <w:rPr>
          <w:rFonts w:cs="Tahoma"/>
          <w:color w:val="000000" w:themeColor="text1"/>
          <w:sz w:val="22"/>
          <w:shd w:val="clear" w:color="auto" w:fill="FFFFFF"/>
        </w:rPr>
        <w:t xml:space="preserve"> Polska </w:t>
      </w:r>
      <w:r w:rsidR="005864ED" w:rsidRPr="001D696C">
        <w:rPr>
          <w:rFonts w:cs="Tahoma"/>
          <w:color w:val="000000" w:themeColor="text1"/>
          <w:sz w:val="22"/>
          <w:shd w:val="clear" w:color="auto" w:fill="FFFFFF"/>
        </w:rPr>
        <w:t xml:space="preserve">i musi zostać zaakceptowany przez Prezesa UOKiK. W umowie kupna musi się znaleźć klauzula, która zagwarantuje, że inwestor będzie </w:t>
      </w:r>
      <w:r w:rsidR="005864ED" w:rsidRPr="001D696C">
        <w:rPr>
          <w:rFonts w:cs="Tahoma"/>
          <w:color w:val="000000" w:themeColor="text1"/>
          <w:sz w:val="22"/>
          <w:shd w:val="clear" w:color="auto" w:fill="FFFFFF"/>
        </w:rPr>
        <w:lastRenderedPageBreak/>
        <w:t xml:space="preserve">kontynuował w tym miejscu działalność apteczną. Treść tego postanowienia również będzie wymagała </w:t>
      </w:r>
      <w:r w:rsidR="00ED06EF">
        <w:rPr>
          <w:rFonts w:cs="Tahoma"/>
          <w:color w:val="000000" w:themeColor="text1"/>
          <w:sz w:val="22"/>
          <w:shd w:val="clear" w:color="auto" w:fill="FFFFFF"/>
        </w:rPr>
        <w:t xml:space="preserve">akceptacji </w:t>
      </w:r>
      <w:r w:rsidR="005864ED" w:rsidRPr="001D696C">
        <w:rPr>
          <w:rFonts w:cs="Tahoma"/>
          <w:color w:val="000000" w:themeColor="text1"/>
          <w:sz w:val="22"/>
          <w:shd w:val="clear" w:color="auto" w:fill="FFFFFF"/>
        </w:rPr>
        <w:t>Prezesa Urzędu Ochrony Konkurencji i Konsumentów</w:t>
      </w:r>
    </w:p>
    <w:p w14:paraId="65276EE5" w14:textId="77777777" w:rsidR="00EA3C7C" w:rsidRPr="001D696C" w:rsidRDefault="00EA3C7C" w:rsidP="00ED06EF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 w:rsidRPr="001D696C">
        <w:rPr>
          <w:rFonts w:cs="Tahoma"/>
          <w:color w:val="000000" w:themeColor="text1"/>
          <w:sz w:val="22"/>
          <w:lang w:eastAsia="en-GB"/>
        </w:rPr>
        <w:t>Zgodnie z przepisami, transakcja podlega zgłoszeniu do urzędu antymonopolowego, jeżeli biorą w niej udział przedsiębiorcy, których łączny obrót w roku poprzedzającym przekroczył 1 mld euro na świecie lub 50 mln euro w Polsce.</w:t>
      </w:r>
    </w:p>
    <w:p w14:paraId="34D6241A" w14:textId="119C000B" w:rsidR="00EA3C7C" w:rsidRPr="001D696C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1D696C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Jednocześnie przypominamy, </w:t>
      </w:r>
      <w:r w:rsidR="008774FA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>ż</w:t>
      </w:r>
      <w:r w:rsidRPr="001D696C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t xml:space="preserve">e Prezes UOKiK wydając zgodę na koncentrację </w:t>
      </w:r>
      <w:r w:rsidRPr="001D696C">
        <w:rPr>
          <w:rFonts w:ascii="Trebuchet MS" w:hAnsi="Trebuchet MS"/>
          <w:color w:val="000000" w:themeColor="text1"/>
          <w:sz w:val="22"/>
          <w:szCs w:val="22"/>
        </w:rPr>
        <w:t xml:space="preserve">może kierować się tylko i wyłącznie przepisami ustawy o ochronie konkurencji i konsumentów. Nie może przy tym stosować innych aktów prawnych, np. prawa farmaceutycznego. Dlatego jedyną przesłanką, w oparciu o którą Prezes UOKiK wydaje decyzje w sprawach  koncentracji, jest wpływ transakcji na konkurencję. </w:t>
      </w:r>
      <w:r w:rsidRPr="001D696C">
        <w:rPr>
          <w:rFonts w:ascii="Trebuchet MS" w:hAnsi="Trebuchet MS" w:cs="Tahoma"/>
          <w:color w:val="000000" w:themeColor="text1"/>
          <w:sz w:val="22"/>
          <w:szCs w:val="22"/>
        </w:rPr>
        <w:t>Oceniając koncentrację, Prezes UOKiK może zakazać transakcji, wydać zgodę na jej dokonanie bądź uzależnić zgodę od spełnienia przez przedsiębiorcę dodatkowych warunków. Wydane decyzje są ważne przez dwa lata.</w:t>
      </w:r>
    </w:p>
    <w:p w14:paraId="1633DC47" w14:textId="77777777" w:rsidR="00EA3C7C" w:rsidRPr="001D696C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1D696C">
        <w:rPr>
          <w:rFonts w:ascii="Trebuchet MS" w:hAnsi="Trebuchet MS" w:cs="Tahoma"/>
          <w:color w:val="000000" w:themeColor="text1"/>
          <w:sz w:val="22"/>
          <w:szCs w:val="22"/>
        </w:rPr>
        <w:t>Wydana decyzja nie jest prawomocna. Zgłaszającemu przysługuje odwołanie do Sądu Ochrony Konkurencji i Konsumentów. Jednocześnie informujemy, że </w:t>
      </w:r>
      <w:hyperlink r:id="rId9" w:history="1">
        <w:r w:rsidRPr="001D696C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Pr="001D696C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14:paraId="126DB4A3" w14:textId="414A9D35" w:rsidR="00B075C5" w:rsidRPr="001D696C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1D696C" w:rsidSect="00816923">
      <w:headerReference w:type="default" r:id="rId10"/>
      <w:footerReference w:type="default" r:id="rId11"/>
      <w:pgSz w:w="11906" w:h="16838"/>
      <w:pgMar w:top="1843" w:right="1417" w:bottom="2269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03F1" w14:textId="77777777" w:rsidR="00C01FD5" w:rsidRDefault="00C01FD5">
      <w:r>
        <w:separator/>
      </w:r>
    </w:p>
  </w:endnote>
  <w:endnote w:type="continuationSeparator" w:id="0">
    <w:p w14:paraId="7F2AED84" w14:textId="77777777" w:rsidR="00C01FD5" w:rsidRDefault="00C01FD5">
      <w:r>
        <w:continuationSeparator/>
      </w:r>
    </w:p>
  </w:endnote>
  <w:endnote w:type="continuationNotice" w:id="1">
    <w:p w14:paraId="2DC661E6" w14:textId="77777777" w:rsidR="00C01FD5" w:rsidRDefault="00C01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DD8B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6C490" wp14:editId="2BDF83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106BC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0A5D28C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040EE2">
      <w:fldChar w:fldCharType="begin"/>
    </w:r>
    <w:r w:rsidR="00040EE2" w:rsidRPr="00040EE2">
      <w:rPr>
        <w:lang w:val="pl-PL"/>
      </w:rPr>
      <w:instrText xml:space="preserve"> HYPERLINK "mailto:biuroprasowe@uokik.gov.pl" </w:instrText>
    </w:r>
    <w:r w:rsidR="00040EE2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040EE2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040EE2">
      <w:fldChar w:fldCharType="begin"/>
    </w:r>
    <w:r w:rsidR="00040EE2" w:rsidRPr="00040EE2">
      <w:rPr>
        <w:lang w:val="pl-PL"/>
      </w:rPr>
      <w:instrText xml:space="preserve"> HYPERLINK "https://twitter.com/UOKiKgovPL" </w:instrText>
    </w:r>
    <w:r w:rsidR="00040EE2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040EE2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r w:rsidR="00040EE2">
      <w:fldChar w:fldCharType="begin"/>
    </w:r>
    <w:r w:rsidR="00040EE2" w:rsidRPr="00040EE2">
      <w:rPr>
        <w:lang w:val="pl-PL"/>
      </w:rPr>
      <w:instrText xml:space="preserve"> HYPERLINK "https://www.instagram.com/uokikgovpl/" \t "_blank" </w:instrText>
    </w:r>
    <w:r w:rsidR="00040EE2">
      <w:fldChar w:fldCharType="separate"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uokikgovpl</w:t>
    </w:r>
    <w:proofErr w:type="spellEnd"/>
    <w:r w:rsidR="00040EE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FED0" w14:textId="77777777" w:rsidR="00C01FD5" w:rsidRDefault="00C01FD5">
      <w:r>
        <w:separator/>
      </w:r>
    </w:p>
  </w:footnote>
  <w:footnote w:type="continuationSeparator" w:id="0">
    <w:p w14:paraId="2C383474" w14:textId="77777777" w:rsidR="00C01FD5" w:rsidRDefault="00C01FD5">
      <w:r>
        <w:continuationSeparator/>
      </w:r>
    </w:p>
  </w:footnote>
  <w:footnote w:type="continuationNotice" w:id="1">
    <w:p w14:paraId="708C5EDC" w14:textId="77777777" w:rsidR="00C01FD5" w:rsidRDefault="00C01F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19A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32A6CB9" wp14:editId="7D99C3BA">
          <wp:extent cx="1400175" cy="542764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3634"/>
    <w:rsid w:val="0002523D"/>
    <w:rsid w:val="00025752"/>
    <w:rsid w:val="00027648"/>
    <w:rsid w:val="00031315"/>
    <w:rsid w:val="00037DE1"/>
    <w:rsid w:val="00040A11"/>
    <w:rsid w:val="00040EE2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29FC"/>
    <w:rsid w:val="00187C73"/>
    <w:rsid w:val="00190D5A"/>
    <w:rsid w:val="00196206"/>
    <w:rsid w:val="001979B5"/>
    <w:rsid w:val="001A3B76"/>
    <w:rsid w:val="001A5F7C"/>
    <w:rsid w:val="001A6E5B"/>
    <w:rsid w:val="001A7451"/>
    <w:rsid w:val="001C1FAD"/>
    <w:rsid w:val="001D0F6E"/>
    <w:rsid w:val="001D696C"/>
    <w:rsid w:val="001D69BC"/>
    <w:rsid w:val="001E188E"/>
    <w:rsid w:val="001E4F92"/>
    <w:rsid w:val="001F4A73"/>
    <w:rsid w:val="001F7A62"/>
    <w:rsid w:val="00205580"/>
    <w:rsid w:val="00207824"/>
    <w:rsid w:val="00207A1F"/>
    <w:rsid w:val="002157BB"/>
    <w:rsid w:val="002248D9"/>
    <w:rsid w:val="002262B5"/>
    <w:rsid w:val="0023138D"/>
    <w:rsid w:val="00240013"/>
    <w:rsid w:val="0024118E"/>
    <w:rsid w:val="00241BAC"/>
    <w:rsid w:val="002505A5"/>
    <w:rsid w:val="00260382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D03CB"/>
    <w:rsid w:val="002E0C0F"/>
    <w:rsid w:val="002E388C"/>
    <w:rsid w:val="002E3A34"/>
    <w:rsid w:val="002F1BF3"/>
    <w:rsid w:val="002F45F4"/>
    <w:rsid w:val="002F4BFC"/>
    <w:rsid w:val="002F4D43"/>
    <w:rsid w:val="003007C0"/>
    <w:rsid w:val="003056C6"/>
    <w:rsid w:val="00311B14"/>
    <w:rsid w:val="0031711D"/>
    <w:rsid w:val="00321512"/>
    <w:rsid w:val="00324306"/>
    <w:rsid w:val="003258C9"/>
    <w:rsid w:val="003272F2"/>
    <w:rsid w:val="003278D6"/>
    <w:rsid w:val="003303F0"/>
    <w:rsid w:val="003374C8"/>
    <w:rsid w:val="00337DF9"/>
    <w:rsid w:val="0034059B"/>
    <w:rsid w:val="0035019C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A62FA"/>
    <w:rsid w:val="003B4FCD"/>
    <w:rsid w:val="003C0FE4"/>
    <w:rsid w:val="003D3FF4"/>
    <w:rsid w:val="003D7161"/>
    <w:rsid w:val="003E3F9D"/>
    <w:rsid w:val="003E4112"/>
    <w:rsid w:val="003E4746"/>
    <w:rsid w:val="003E69E5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25B7"/>
    <w:rsid w:val="00444A85"/>
    <w:rsid w:val="00453AFA"/>
    <w:rsid w:val="00462CFA"/>
    <w:rsid w:val="00470E30"/>
    <w:rsid w:val="00474204"/>
    <w:rsid w:val="00475B0D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5C26"/>
    <w:rsid w:val="004D16C0"/>
    <w:rsid w:val="004D1E1D"/>
    <w:rsid w:val="004D2293"/>
    <w:rsid w:val="004D24B9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E0D"/>
    <w:rsid w:val="00525588"/>
    <w:rsid w:val="0052710E"/>
    <w:rsid w:val="0053552F"/>
    <w:rsid w:val="005442FC"/>
    <w:rsid w:val="0055183E"/>
    <w:rsid w:val="00553928"/>
    <w:rsid w:val="0055631D"/>
    <w:rsid w:val="00563DFA"/>
    <w:rsid w:val="00574468"/>
    <w:rsid w:val="005864ED"/>
    <w:rsid w:val="00593935"/>
    <w:rsid w:val="005973FD"/>
    <w:rsid w:val="00597C68"/>
    <w:rsid w:val="005A382B"/>
    <w:rsid w:val="005A4047"/>
    <w:rsid w:val="005B5AD5"/>
    <w:rsid w:val="005C0D39"/>
    <w:rsid w:val="005C6232"/>
    <w:rsid w:val="005D6122"/>
    <w:rsid w:val="005D6F7A"/>
    <w:rsid w:val="005E51B2"/>
    <w:rsid w:val="005E5B88"/>
    <w:rsid w:val="005E6A0E"/>
    <w:rsid w:val="005E78EE"/>
    <w:rsid w:val="005F139F"/>
    <w:rsid w:val="005F1EBD"/>
    <w:rsid w:val="005F25FF"/>
    <w:rsid w:val="006063D0"/>
    <w:rsid w:val="00607C7D"/>
    <w:rsid w:val="00613C45"/>
    <w:rsid w:val="00616E86"/>
    <w:rsid w:val="00633D4E"/>
    <w:rsid w:val="0063526F"/>
    <w:rsid w:val="00637E86"/>
    <w:rsid w:val="006422DE"/>
    <w:rsid w:val="006439FA"/>
    <w:rsid w:val="00653551"/>
    <w:rsid w:val="00654876"/>
    <w:rsid w:val="00670BD3"/>
    <w:rsid w:val="0067485D"/>
    <w:rsid w:val="00676B19"/>
    <w:rsid w:val="006813A9"/>
    <w:rsid w:val="006928DE"/>
    <w:rsid w:val="00695697"/>
    <w:rsid w:val="006A2065"/>
    <w:rsid w:val="006A356D"/>
    <w:rsid w:val="006A3D88"/>
    <w:rsid w:val="006A4A7A"/>
    <w:rsid w:val="006B0848"/>
    <w:rsid w:val="006B733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DDC"/>
    <w:rsid w:val="007627D7"/>
    <w:rsid w:val="0077200D"/>
    <w:rsid w:val="00772D80"/>
    <w:rsid w:val="00776C4F"/>
    <w:rsid w:val="007838E4"/>
    <w:rsid w:val="007846DC"/>
    <w:rsid w:val="007912E8"/>
    <w:rsid w:val="00791D59"/>
    <w:rsid w:val="00793A70"/>
    <w:rsid w:val="007951CD"/>
    <w:rsid w:val="00796768"/>
    <w:rsid w:val="007A19D8"/>
    <w:rsid w:val="007B19A9"/>
    <w:rsid w:val="007C1F92"/>
    <w:rsid w:val="007E36E4"/>
    <w:rsid w:val="007E66AA"/>
    <w:rsid w:val="007E752F"/>
    <w:rsid w:val="007F0ACE"/>
    <w:rsid w:val="00800F0E"/>
    <w:rsid w:val="00804024"/>
    <w:rsid w:val="00812AF3"/>
    <w:rsid w:val="00815387"/>
    <w:rsid w:val="00816923"/>
    <w:rsid w:val="0081753E"/>
    <w:rsid w:val="008212B2"/>
    <w:rsid w:val="008242DB"/>
    <w:rsid w:val="008253A3"/>
    <w:rsid w:val="00831779"/>
    <w:rsid w:val="0083291A"/>
    <w:rsid w:val="008331AB"/>
    <w:rsid w:val="0085010E"/>
    <w:rsid w:val="008522F7"/>
    <w:rsid w:val="0085454F"/>
    <w:rsid w:val="00870B4C"/>
    <w:rsid w:val="008717EE"/>
    <w:rsid w:val="0087354F"/>
    <w:rsid w:val="008774FA"/>
    <w:rsid w:val="00877BCA"/>
    <w:rsid w:val="00881C3D"/>
    <w:rsid w:val="00884B41"/>
    <w:rsid w:val="00896985"/>
    <w:rsid w:val="008C53D0"/>
    <w:rsid w:val="008D527A"/>
    <w:rsid w:val="008D56DA"/>
    <w:rsid w:val="008D5771"/>
    <w:rsid w:val="008E35B0"/>
    <w:rsid w:val="008E6D94"/>
    <w:rsid w:val="008F1196"/>
    <w:rsid w:val="008F432F"/>
    <w:rsid w:val="008F472E"/>
    <w:rsid w:val="00902556"/>
    <w:rsid w:val="0090338C"/>
    <w:rsid w:val="0091048E"/>
    <w:rsid w:val="00913003"/>
    <w:rsid w:val="0091340B"/>
    <w:rsid w:val="009213C6"/>
    <w:rsid w:val="00924ABC"/>
    <w:rsid w:val="00933216"/>
    <w:rsid w:val="00940D57"/>
    <w:rsid w:val="00940E8F"/>
    <w:rsid w:val="00943EBD"/>
    <w:rsid w:val="0095309C"/>
    <w:rsid w:val="0095787E"/>
    <w:rsid w:val="009578D1"/>
    <w:rsid w:val="00960A21"/>
    <w:rsid w:val="0096214C"/>
    <w:rsid w:val="0096305F"/>
    <w:rsid w:val="009652F2"/>
    <w:rsid w:val="009719ED"/>
    <w:rsid w:val="009740F7"/>
    <w:rsid w:val="00974BC9"/>
    <w:rsid w:val="00986C37"/>
    <w:rsid w:val="00997528"/>
    <w:rsid w:val="0099796A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7346"/>
    <w:rsid w:val="00A21BCB"/>
    <w:rsid w:val="00A239AA"/>
    <w:rsid w:val="00A23AB1"/>
    <w:rsid w:val="00A26321"/>
    <w:rsid w:val="00A274E3"/>
    <w:rsid w:val="00A439E8"/>
    <w:rsid w:val="00A45753"/>
    <w:rsid w:val="00A53423"/>
    <w:rsid w:val="00A54107"/>
    <w:rsid w:val="00A62659"/>
    <w:rsid w:val="00A64EF5"/>
    <w:rsid w:val="00A65F20"/>
    <w:rsid w:val="00A7405B"/>
    <w:rsid w:val="00A76293"/>
    <w:rsid w:val="00A77DA2"/>
    <w:rsid w:val="00A83966"/>
    <w:rsid w:val="00A85D9D"/>
    <w:rsid w:val="00A90613"/>
    <w:rsid w:val="00A92C4C"/>
    <w:rsid w:val="00AA26EE"/>
    <w:rsid w:val="00AA2B7D"/>
    <w:rsid w:val="00AA602D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79F0"/>
    <w:rsid w:val="00BB085B"/>
    <w:rsid w:val="00BB2C48"/>
    <w:rsid w:val="00BB5068"/>
    <w:rsid w:val="00BB7AE8"/>
    <w:rsid w:val="00BC7B01"/>
    <w:rsid w:val="00BD0481"/>
    <w:rsid w:val="00BD4447"/>
    <w:rsid w:val="00BE2623"/>
    <w:rsid w:val="00BE3923"/>
    <w:rsid w:val="00BE4BF0"/>
    <w:rsid w:val="00BE5EE5"/>
    <w:rsid w:val="00BE68EE"/>
    <w:rsid w:val="00BE7248"/>
    <w:rsid w:val="00BE7F63"/>
    <w:rsid w:val="00BF45FB"/>
    <w:rsid w:val="00C01FD5"/>
    <w:rsid w:val="00C1137E"/>
    <w:rsid w:val="00C123B1"/>
    <w:rsid w:val="00C16E0F"/>
    <w:rsid w:val="00C21071"/>
    <w:rsid w:val="00C2398C"/>
    <w:rsid w:val="00C24A19"/>
    <w:rsid w:val="00C25569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6757"/>
    <w:rsid w:val="00CA6B58"/>
    <w:rsid w:val="00CB1AE6"/>
    <w:rsid w:val="00CB3ED4"/>
    <w:rsid w:val="00CB3F86"/>
    <w:rsid w:val="00CB7033"/>
    <w:rsid w:val="00CC2D08"/>
    <w:rsid w:val="00CD34F0"/>
    <w:rsid w:val="00CE0954"/>
    <w:rsid w:val="00CF11F7"/>
    <w:rsid w:val="00D03C98"/>
    <w:rsid w:val="00D106CC"/>
    <w:rsid w:val="00D10919"/>
    <w:rsid w:val="00D12EE3"/>
    <w:rsid w:val="00D1323F"/>
    <w:rsid w:val="00D15E0B"/>
    <w:rsid w:val="00D202BA"/>
    <w:rsid w:val="00D217E6"/>
    <w:rsid w:val="00D21E3B"/>
    <w:rsid w:val="00D251AC"/>
    <w:rsid w:val="00D36DE4"/>
    <w:rsid w:val="00D43766"/>
    <w:rsid w:val="00D47CCF"/>
    <w:rsid w:val="00D579E3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1A73"/>
    <w:rsid w:val="00DA753F"/>
    <w:rsid w:val="00DC0678"/>
    <w:rsid w:val="00DC182C"/>
    <w:rsid w:val="00DC2A07"/>
    <w:rsid w:val="00DC5754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102DE"/>
    <w:rsid w:val="00E11CFA"/>
    <w:rsid w:val="00E1267F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76CD1"/>
    <w:rsid w:val="00E81454"/>
    <w:rsid w:val="00E83A43"/>
    <w:rsid w:val="00E86183"/>
    <w:rsid w:val="00E87B6E"/>
    <w:rsid w:val="00E907FE"/>
    <w:rsid w:val="00E92232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F3590"/>
    <w:rsid w:val="00EF4CD8"/>
    <w:rsid w:val="00EF68F2"/>
    <w:rsid w:val="00EF6F40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D09D8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1807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F461-34D5-42BD-B632-0BDD38359B7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081A33-05DF-4AF4-9FC6-9F0F1949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Maciej Chmielowski</cp:lastModifiedBy>
  <cp:revision>4</cp:revision>
  <cp:lastPrinted>2023-08-18T11:59:00Z</cp:lastPrinted>
  <dcterms:created xsi:type="dcterms:W3CDTF">2023-09-15T09:09:00Z</dcterms:created>
  <dcterms:modified xsi:type="dcterms:W3CDTF">2023-09-15T14:10:00Z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ea6270df-3774-49bc-a284-c8d251ffe1cc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