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50D92" w14:textId="2F9C4EC2" w:rsidR="00F019E5" w:rsidRPr="00036D69" w:rsidRDefault="008455C7" w:rsidP="003526EA">
      <w:pPr>
        <w:spacing w:after="240"/>
        <w:jc w:val="both"/>
        <w:rPr>
          <w:sz w:val="32"/>
          <w:szCs w:val="32"/>
        </w:rPr>
      </w:pPr>
      <w:r>
        <w:rPr>
          <w:sz w:val="32"/>
          <w:szCs w:val="32"/>
        </w:rPr>
        <w:t>Kolejny wyrok TSUE w sprawie wynagrodzenia za korzystanie z kapitału oraz uprawnień konsumenta</w:t>
      </w:r>
    </w:p>
    <w:p w14:paraId="28967800" w14:textId="17D97B5F" w:rsidR="00F019E5" w:rsidRDefault="00F019E5" w:rsidP="003526EA">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rPr>
        <w:t xml:space="preserve">TSUE wydał dziś wyrok, zgodnie z którym sąd krajowy nie może uzależniać </w:t>
      </w:r>
      <w:r w:rsidR="004D176B">
        <w:rPr>
          <w:rStyle w:val="Pogrubienie"/>
          <w:rFonts w:cs="Tahoma"/>
          <w:color w:val="000000"/>
          <w:sz w:val="22"/>
          <w:shd w:val="clear" w:color="auto" w:fill="FFFFFF"/>
        </w:rPr>
        <w:t>skorzystania przez konsumenta z przysługujących mu praw</w:t>
      </w:r>
      <w:r w:rsidRPr="00EC025E">
        <w:rPr>
          <w:rStyle w:val="Pogrubienie"/>
          <w:rFonts w:cs="Tahoma"/>
          <w:color w:val="000000"/>
          <w:sz w:val="22"/>
          <w:shd w:val="clear" w:color="auto" w:fill="FFFFFF"/>
        </w:rPr>
        <w:t xml:space="preserve"> od złożenia przez konsumenta  oświadczenia</w:t>
      </w:r>
      <w:r>
        <w:rPr>
          <w:rStyle w:val="Pogrubienie"/>
          <w:rFonts w:cs="Tahoma"/>
          <w:color w:val="000000"/>
          <w:sz w:val="22"/>
          <w:shd w:val="clear" w:color="auto" w:fill="FFFFFF"/>
        </w:rPr>
        <w:t xml:space="preserve">, że nie chce być związany nieuczciwym warunkiem. </w:t>
      </w:r>
    </w:p>
    <w:p w14:paraId="52826585" w14:textId="323CEBF3" w:rsidR="00F019E5" w:rsidRDefault="00F019E5" w:rsidP="00F019E5">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rPr>
        <w:t>R</w:t>
      </w:r>
      <w:r w:rsidRPr="00DA6596">
        <w:rPr>
          <w:rStyle w:val="Pogrubienie"/>
          <w:rFonts w:cs="Tahoma"/>
          <w:color w:val="000000"/>
          <w:sz w:val="22"/>
          <w:shd w:val="clear" w:color="auto" w:fill="FFFFFF"/>
        </w:rPr>
        <w:t>oszczenie konsumenta o zwrot świadczeń, które spełnił na podstawie nieważnej umowy kredytu</w:t>
      </w:r>
      <w:r w:rsidR="003526EA">
        <w:rPr>
          <w:rStyle w:val="Pogrubienie"/>
          <w:rFonts w:cs="Tahoma"/>
          <w:color w:val="000000"/>
          <w:sz w:val="22"/>
          <w:shd w:val="clear" w:color="auto" w:fill="FFFFFF"/>
        </w:rPr>
        <w:t>,</w:t>
      </w:r>
      <w:r w:rsidRPr="00DA6596">
        <w:rPr>
          <w:rStyle w:val="Pogrubienie"/>
          <w:rFonts w:cs="Tahoma"/>
          <w:color w:val="000000"/>
          <w:sz w:val="22"/>
          <w:shd w:val="clear" w:color="auto" w:fill="FFFFFF"/>
        </w:rPr>
        <w:t xml:space="preserve"> nie może zostać obniżone o równowartość odsetek kapitałowych, które przysługiwałyby bankowi, gdyby umowa kredytu była ważna.</w:t>
      </w:r>
    </w:p>
    <w:p w14:paraId="6F7D8225" w14:textId="77777777" w:rsidR="00F019E5" w:rsidRPr="00F019E5" w:rsidRDefault="00F019E5" w:rsidP="00F019E5">
      <w:pPr>
        <w:spacing w:after="240" w:line="360" w:lineRule="auto"/>
        <w:jc w:val="both"/>
        <w:rPr>
          <w:rStyle w:val="Pogrubienie"/>
          <w:rFonts w:cs="Tahoma"/>
          <w:b w:val="0"/>
          <w:color w:val="000000"/>
          <w:sz w:val="22"/>
          <w:shd w:val="clear" w:color="auto" w:fill="FFFFFF"/>
        </w:rPr>
      </w:pPr>
      <w:r w:rsidRPr="00F019E5">
        <w:rPr>
          <w:rStyle w:val="Pogrubienie"/>
          <w:rFonts w:cs="Tahoma"/>
          <w:color w:val="000000"/>
          <w:sz w:val="22"/>
          <w:shd w:val="clear" w:color="auto" w:fill="FFFFFF"/>
        </w:rPr>
        <w:t xml:space="preserve">[Warszawa, 7 grudnia 2023 r.] </w:t>
      </w:r>
      <w:r w:rsidRPr="00F019E5">
        <w:rPr>
          <w:rStyle w:val="Pogrubienie"/>
          <w:rFonts w:cs="Tahoma"/>
          <w:b w:val="0"/>
          <w:color w:val="000000"/>
          <w:sz w:val="22"/>
          <w:shd w:val="clear" w:color="auto" w:fill="FFFFFF"/>
        </w:rPr>
        <w:t xml:space="preserve">Na wokandzie Trybunału Sprawiedliwości Unii Europejskiej był dziś rozpatrywany wniosek w kolejnej polskiej sprawie </w:t>
      </w:r>
      <w:r w:rsidRPr="00F019E5">
        <w:rPr>
          <w:rStyle w:val="Pogrubienie"/>
          <w:rFonts w:cs="Tahoma"/>
          <w:b w:val="0"/>
          <w:color w:val="000000"/>
          <w:sz w:val="22"/>
        </w:rPr>
        <w:t>C-140/22</w:t>
      </w:r>
      <w:r w:rsidRPr="00F019E5">
        <w:rPr>
          <w:rStyle w:val="Pogrubienie"/>
          <w:rFonts w:cs="Tahoma"/>
          <w:b w:val="0"/>
          <w:color w:val="000000"/>
          <w:sz w:val="22"/>
          <w:shd w:val="clear" w:color="auto" w:fill="FFFFFF"/>
        </w:rPr>
        <w:t xml:space="preserve"> o wydanie orzeczenia w trybie prejudycjalnym w związku z pytaniem zadanym przez Sąd Rejonowy dla Warszawy-Śródmieścia. Sąd zwrócił się do TSUE o rozstrzygnięcie kwestii, które pojawiły się w związku z uchwałą Sądu Najwyższego z 7 maja 2021 r. (sygn. III CZP 6/21). W uzasadnieniu do tej uchwały SN wskazał, że skutki nieważności umowy biegną od chwili złożenia przez klienta oświadczenia, że nie wyraża zgody na utrzymanie w mocy nieuczciwego warunku, jest świadomy konsekwencji nieważności umowy i wyraża zgodę na nieważność umowy. </w:t>
      </w:r>
    </w:p>
    <w:p w14:paraId="3CF6B5AF" w14:textId="77777777" w:rsidR="00F019E5" w:rsidRPr="00F019E5" w:rsidRDefault="00F019E5" w:rsidP="00F019E5">
      <w:pPr>
        <w:spacing w:after="240" w:line="360" w:lineRule="auto"/>
        <w:jc w:val="both"/>
        <w:rPr>
          <w:rStyle w:val="Pogrubienie"/>
          <w:rFonts w:cs="Tahoma"/>
          <w:b w:val="0"/>
          <w:color w:val="000000"/>
          <w:sz w:val="22"/>
          <w:shd w:val="clear" w:color="auto" w:fill="FFFFFF"/>
        </w:rPr>
      </w:pPr>
      <w:r w:rsidRPr="00F019E5">
        <w:rPr>
          <w:rStyle w:val="Pogrubienie"/>
          <w:rFonts w:cs="Tahoma"/>
          <w:b w:val="0"/>
          <w:color w:val="000000"/>
          <w:sz w:val="22"/>
          <w:shd w:val="clear" w:color="auto" w:fill="FFFFFF"/>
        </w:rPr>
        <w:t xml:space="preserve">Dlatego Sąd Rejonowy dla Warszawy-Śródmieścia zwrócił się do TSUE o rozstrzygnięcie czterech kwestii: </w:t>
      </w:r>
    </w:p>
    <w:p w14:paraId="5FA4D84F" w14:textId="77777777" w:rsidR="00F019E5" w:rsidRPr="00F019E5" w:rsidRDefault="00F019E5" w:rsidP="00F019E5">
      <w:pPr>
        <w:pStyle w:val="Akapitzlist"/>
        <w:numPr>
          <w:ilvl w:val="0"/>
          <w:numId w:val="21"/>
        </w:numPr>
        <w:spacing w:after="240" w:line="360" w:lineRule="auto"/>
        <w:jc w:val="both"/>
        <w:rPr>
          <w:rStyle w:val="Pogrubienie"/>
          <w:rFonts w:cs="Tahoma"/>
          <w:b w:val="0"/>
          <w:color w:val="000000"/>
          <w:sz w:val="22"/>
          <w:shd w:val="clear" w:color="auto" w:fill="FFFFFF"/>
        </w:rPr>
      </w:pPr>
      <w:r w:rsidRPr="00F019E5">
        <w:rPr>
          <w:rStyle w:val="Pogrubienie"/>
          <w:rFonts w:cs="Tahoma"/>
          <w:b w:val="0"/>
          <w:color w:val="000000"/>
          <w:sz w:val="22"/>
          <w:shd w:val="clear" w:color="auto" w:fill="FFFFFF"/>
        </w:rPr>
        <w:t>czy umowa staje się trwale bezskuteczna (nieważna) z mocną wsteczną dopiero po złożeniu oświadczenia przez konsumenta, że nie wyraża on zgody na utrzymanie w mocy nieuczciwego warunku,</w:t>
      </w:r>
    </w:p>
    <w:p w14:paraId="520B3174" w14:textId="77777777" w:rsidR="00F019E5" w:rsidRPr="008455C7" w:rsidRDefault="00F019E5" w:rsidP="00F019E5">
      <w:pPr>
        <w:pStyle w:val="Akapitzlist"/>
        <w:numPr>
          <w:ilvl w:val="0"/>
          <w:numId w:val="21"/>
        </w:numPr>
        <w:spacing w:after="240" w:line="360" w:lineRule="auto"/>
        <w:jc w:val="both"/>
        <w:rPr>
          <w:rStyle w:val="Pogrubienie"/>
          <w:rFonts w:cs="Tahoma"/>
          <w:b w:val="0"/>
          <w:color w:val="000000"/>
          <w:sz w:val="22"/>
          <w:shd w:val="clear" w:color="auto" w:fill="FFFFFF"/>
        </w:rPr>
      </w:pPr>
      <w:r w:rsidRPr="00F019E5">
        <w:rPr>
          <w:rStyle w:val="Pogrubienie"/>
          <w:rFonts w:cs="Tahoma"/>
          <w:b w:val="0"/>
          <w:color w:val="000000"/>
          <w:sz w:val="22"/>
          <w:shd w:val="clear" w:color="auto" w:fill="FFFFFF"/>
        </w:rPr>
        <w:t>czy w związku z tym termin biegu przedawnienia roszczenia</w:t>
      </w:r>
      <w:r w:rsidRPr="00036D69">
        <w:rPr>
          <w:rStyle w:val="Pogrubienie"/>
          <w:rFonts w:cs="Tahoma"/>
          <w:color w:val="000000"/>
          <w:sz w:val="22"/>
          <w:shd w:val="clear" w:color="auto" w:fill="FFFFFF"/>
        </w:rPr>
        <w:t xml:space="preserve"> </w:t>
      </w:r>
      <w:bookmarkStart w:id="0" w:name="_GoBack"/>
      <w:r w:rsidRPr="008455C7">
        <w:rPr>
          <w:rStyle w:val="Pogrubienie"/>
          <w:rFonts w:cs="Tahoma"/>
          <w:b w:val="0"/>
          <w:color w:val="000000"/>
          <w:sz w:val="22"/>
          <w:shd w:val="clear" w:color="auto" w:fill="FFFFFF"/>
        </w:rPr>
        <w:t xml:space="preserve">banku rozpoczyna się dopiero od daty, w której konsument złożył takie oświadczenie, </w:t>
      </w:r>
    </w:p>
    <w:p w14:paraId="1275186B" w14:textId="77777777" w:rsidR="00F019E5" w:rsidRPr="008455C7" w:rsidRDefault="00F019E5" w:rsidP="00F019E5">
      <w:pPr>
        <w:pStyle w:val="Akapitzlist"/>
        <w:numPr>
          <w:ilvl w:val="0"/>
          <w:numId w:val="21"/>
        </w:numPr>
        <w:spacing w:after="240" w:line="360" w:lineRule="auto"/>
        <w:jc w:val="both"/>
        <w:rPr>
          <w:rStyle w:val="Pogrubienie"/>
          <w:rFonts w:cs="Tahoma"/>
          <w:b w:val="0"/>
          <w:color w:val="000000"/>
          <w:sz w:val="22"/>
          <w:shd w:val="clear" w:color="auto" w:fill="FFFFFF"/>
        </w:rPr>
      </w:pPr>
      <w:r w:rsidRPr="008455C7">
        <w:rPr>
          <w:rStyle w:val="Pogrubienie"/>
          <w:rFonts w:cs="Tahoma"/>
          <w:b w:val="0"/>
          <w:color w:val="000000"/>
          <w:sz w:val="22"/>
          <w:shd w:val="clear" w:color="auto" w:fill="FFFFFF"/>
        </w:rPr>
        <w:t xml:space="preserve">czy konsument może domagać się zapłaty odsetek ustawowych za opóźnienie dopiero od daty, w której złożył wskazane wyżej oświadczenie, nawet jeżeli uprzednio wezwał przedsiębiorcę do zapłaty,  </w:t>
      </w:r>
    </w:p>
    <w:bookmarkEnd w:id="0"/>
    <w:p w14:paraId="31367C37" w14:textId="77777777" w:rsidR="00F019E5" w:rsidRPr="00F019E5" w:rsidRDefault="00F019E5" w:rsidP="00F019E5">
      <w:pPr>
        <w:pStyle w:val="Akapitzlist"/>
        <w:numPr>
          <w:ilvl w:val="0"/>
          <w:numId w:val="21"/>
        </w:numPr>
        <w:spacing w:after="240" w:line="360" w:lineRule="auto"/>
        <w:jc w:val="both"/>
        <w:rPr>
          <w:rStyle w:val="Pogrubienie"/>
          <w:rFonts w:cs="Tahoma"/>
          <w:b w:val="0"/>
          <w:color w:val="000000"/>
          <w:sz w:val="22"/>
          <w:shd w:val="clear" w:color="auto" w:fill="FFFFFF"/>
        </w:rPr>
      </w:pPr>
      <w:r w:rsidRPr="00F019E5">
        <w:rPr>
          <w:rStyle w:val="Pogrubienie"/>
          <w:rFonts w:cs="Tahoma"/>
          <w:b w:val="0"/>
          <w:color w:val="000000"/>
          <w:sz w:val="22"/>
          <w:shd w:val="clear" w:color="auto" w:fill="FFFFFF"/>
        </w:rPr>
        <w:t xml:space="preserve">czy roszczenie konsumenta o zwrot świadczeń, które spełnił na podstawie nieważnej umowy kredytu (rat kredytu, opłat, prowizji i składek ubezpieczeniowych) powinno zostać obniżone o równowartość odsetek kapitałowych, które przysługiwałyby bankowi, gdyby umowa kredytu była ważna, podczas gdy bank może domagać się </w:t>
      </w:r>
      <w:r w:rsidRPr="00F019E5">
        <w:rPr>
          <w:rStyle w:val="Pogrubienie"/>
          <w:rFonts w:cs="Tahoma"/>
          <w:b w:val="0"/>
          <w:color w:val="000000"/>
          <w:sz w:val="22"/>
          <w:shd w:val="clear" w:color="auto" w:fill="FFFFFF"/>
        </w:rPr>
        <w:lastRenderedPageBreak/>
        <w:t>zwrotu świadczenia, które spełnił na podstawie tej samej nieważnej umowy kredytu (kapitału kredytu) w pełnej wysokości.</w:t>
      </w:r>
    </w:p>
    <w:p w14:paraId="12481E6E" w14:textId="676543B1" w:rsidR="00F019E5" w:rsidRPr="00F019E5" w:rsidRDefault="00F019E5" w:rsidP="00F019E5">
      <w:pPr>
        <w:spacing w:after="240" w:line="360" w:lineRule="auto"/>
        <w:jc w:val="both"/>
        <w:rPr>
          <w:rStyle w:val="Pogrubienie"/>
          <w:rFonts w:cs="Tahoma"/>
          <w:color w:val="000000"/>
          <w:sz w:val="22"/>
          <w:shd w:val="clear" w:color="auto" w:fill="FFFFFF"/>
        </w:rPr>
      </w:pPr>
      <w:r w:rsidRPr="00F019E5">
        <w:rPr>
          <w:rStyle w:val="Pogrubienie"/>
          <w:rFonts w:cs="Tahoma"/>
          <w:color w:val="000000"/>
          <w:sz w:val="22"/>
          <w:shd w:val="clear" w:color="auto" w:fill="FFFFFF"/>
        </w:rPr>
        <w:t xml:space="preserve">Oświadczenie konsumenta, </w:t>
      </w:r>
      <w:r w:rsidR="004D176B">
        <w:rPr>
          <w:rStyle w:val="Pogrubienie"/>
          <w:rFonts w:cs="Tahoma"/>
          <w:color w:val="000000"/>
          <w:sz w:val="22"/>
          <w:shd w:val="clear" w:color="auto" w:fill="FFFFFF"/>
        </w:rPr>
        <w:t xml:space="preserve">a </w:t>
      </w:r>
      <w:r w:rsidR="00257139">
        <w:rPr>
          <w:rStyle w:val="Pogrubienie"/>
          <w:rFonts w:cs="Tahoma"/>
          <w:color w:val="000000"/>
          <w:sz w:val="22"/>
          <w:shd w:val="clear" w:color="auto" w:fill="FFFFFF"/>
        </w:rPr>
        <w:t>skorzystanie z uprawnień przysługujących konsumentowi</w:t>
      </w:r>
    </w:p>
    <w:p w14:paraId="73C40A45" w14:textId="77777777" w:rsidR="00F019E5" w:rsidRPr="00F019E5" w:rsidRDefault="00F019E5" w:rsidP="00F019E5">
      <w:pPr>
        <w:spacing w:after="240" w:line="360" w:lineRule="auto"/>
        <w:jc w:val="both"/>
        <w:rPr>
          <w:rStyle w:val="Pogrubienie"/>
          <w:rFonts w:cs="Tahoma"/>
          <w:b w:val="0"/>
          <w:color w:val="000000"/>
          <w:sz w:val="22"/>
          <w:shd w:val="clear" w:color="auto" w:fill="FFFFFF"/>
        </w:rPr>
      </w:pPr>
      <w:r w:rsidRPr="00F019E5">
        <w:rPr>
          <w:rStyle w:val="Pogrubienie"/>
          <w:rFonts w:cs="Tahoma"/>
          <w:b w:val="0"/>
          <w:color w:val="000000"/>
          <w:sz w:val="22"/>
          <w:shd w:val="clear" w:color="auto" w:fill="FFFFFF"/>
        </w:rPr>
        <w:t xml:space="preserve">W swoim wyroku TSUE podkreślił, że postanowienia niedozwolone nie wiążą konsumenta od początku, z mocy samego prawa. Jeśli sąd krajowy stwierdzi nieuczciwy charakter warunku umownego, to jest on zobowiązany do odstąpienia od stosowania go, a wyjątek od tego zobowiązania jest przewidziany tylko wtedy, gdy konsument, po otrzymaniu informacji od tego sądu, nie zamierza powoływać się na nieuczciwy i niewiążący charakter warunku, wyrażając w ten sposób dobrowolną i świadomą zgodę na przedmiotowy warunek. </w:t>
      </w:r>
    </w:p>
    <w:p w14:paraId="2084EE92" w14:textId="77777777" w:rsidR="00464D8C" w:rsidRDefault="00F019E5" w:rsidP="00464D8C">
      <w:pPr>
        <w:spacing w:after="240" w:line="360" w:lineRule="auto"/>
        <w:jc w:val="both"/>
        <w:rPr>
          <w:rStyle w:val="Pogrubienie"/>
          <w:rFonts w:cs="Tahoma"/>
          <w:b w:val="0"/>
          <w:color w:val="000000"/>
          <w:sz w:val="22"/>
          <w:shd w:val="clear" w:color="auto" w:fill="FFFFFF"/>
        </w:rPr>
      </w:pPr>
      <w:r w:rsidRPr="00F019E5">
        <w:rPr>
          <w:rStyle w:val="Pogrubienie"/>
          <w:rFonts w:cs="Tahoma"/>
          <w:b w:val="0"/>
          <w:color w:val="000000"/>
          <w:sz w:val="22"/>
          <w:shd w:val="clear" w:color="auto" w:fill="FFFFFF"/>
        </w:rPr>
        <w:t>Oświadczenie konsumenta nie ma zatem charakteru przyzwolenia na objęcie go ochroną wynikającą z dyrektywy 93/13 ze względu na stosowanie przez przedsiębiorcę niedozwolonych postanowień umownych, ale jest przyzwoleniem na zastosowanie wyjątku od tej ochrony, polegającego na potraktowaniu nieuczciwego warunku umownego jako wiążącego dla konsumenta na jego wyraźne życzenie. Jeżeli więc, po otrzymaniu przez sąd odpowiednich wyjaśnień, konsument nie sprzeciwi się uznaniu umowy za nieważną wskutek zawarcia w niej nieuczciwych warunków, to sąd powinien potraktować taką umowę, jakby była od samego początku nieważna.</w:t>
      </w:r>
      <w:r w:rsidR="004D176B">
        <w:rPr>
          <w:rStyle w:val="Pogrubienie"/>
          <w:rFonts w:cs="Tahoma"/>
          <w:b w:val="0"/>
          <w:color w:val="000000"/>
          <w:sz w:val="22"/>
          <w:shd w:val="clear" w:color="auto" w:fill="FFFFFF"/>
        </w:rPr>
        <w:t xml:space="preserve"> TSUE po raz kolejny uznał więc, że sąd powinien usunąć nieuczciwy warunek umowy działając z urzędu, a wykonanie uprawnień konsumenta nie jest uzależnione od złożenia przez niego oświadczenia, o tym że chce z nich skorzystać. </w:t>
      </w:r>
    </w:p>
    <w:p w14:paraId="42CAEEA1" w14:textId="6DE41831" w:rsidR="00F019E5" w:rsidRPr="00F019E5" w:rsidRDefault="00464D8C" w:rsidP="00F019E5">
      <w:pPr>
        <w:spacing w:after="240" w:line="360" w:lineRule="auto"/>
        <w:jc w:val="both"/>
        <w:rPr>
          <w:rStyle w:val="Pogrubienie"/>
          <w:rFonts w:cs="Tahoma"/>
          <w:b w:val="0"/>
          <w:color w:val="000000"/>
          <w:sz w:val="22"/>
          <w:shd w:val="clear" w:color="auto" w:fill="FFFFFF"/>
        </w:rPr>
      </w:pPr>
      <w:r w:rsidRPr="00795B23">
        <w:rPr>
          <w:bCs/>
          <w:sz w:val="22"/>
        </w:rPr>
        <w:t>TSUE nie odniósł się co prawda wprost do pytań dotyczących biegu przedawnienia i odsetek</w:t>
      </w:r>
      <w:r>
        <w:rPr>
          <w:bCs/>
          <w:sz w:val="22"/>
        </w:rPr>
        <w:t xml:space="preserve"> </w:t>
      </w:r>
      <w:r w:rsidRPr="00795B23">
        <w:rPr>
          <w:bCs/>
          <w:sz w:val="22"/>
        </w:rPr>
        <w:t xml:space="preserve"> </w:t>
      </w:r>
      <w:r>
        <w:rPr>
          <w:bCs/>
          <w:sz w:val="22"/>
        </w:rPr>
        <w:t>za opóźnienie</w:t>
      </w:r>
      <w:r w:rsidRPr="00795B23">
        <w:rPr>
          <w:bCs/>
          <w:sz w:val="22"/>
        </w:rPr>
        <w:t xml:space="preserve"> wskazując, że ich wykładnia należy do sądów krajowych, jednakże wykładnia </w:t>
      </w:r>
      <w:r>
        <w:rPr>
          <w:bCs/>
          <w:sz w:val="22"/>
        </w:rPr>
        <w:t xml:space="preserve">ta </w:t>
      </w:r>
      <w:r w:rsidRPr="00795B23">
        <w:rPr>
          <w:bCs/>
          <w:sz w:val="22"/>
        </w:rPr>
        <w:t>powinna być dokonana w możliwie najszerszym zakresie w świetle treści i celu dyrektywy 93/13.</w:t>
      </w:r>
      <w:r>
        <w:rPr>
          <w:bCs/>
          <w:sz w:val="22"/>
        </w:rPr>
        <w:t xml:space="preserve"> </w:t>
      </w:r>
      <w:r w:rsidR="004D176B">
        <w:rPr>
          <w:rStyle w:val="Pogrubienie"/>
          <w:rFonts w:cs="Tahoma"/>
          <w:b w:val="0"/>
          <w:color w:val="000000"/>
          <w:sz w:val="22"/>
          <w:shd w:val="clear" w:color="auto" w:fill="FFFFFF"/>
        </w:rPr>
        <w:t xml:space="preserve">Tym samym, ani bieg przedawnienia roszczeń, ani też </w:t>
      </w:r>
      <w:r w:rsidR="00257139">
        <w:rPr>
          <w:rStyle w:val="Pogrubienie"/>
          <w:rFonts w:cs="Tahoma"/>
          <w:b w:val="0"/>
          <w:color w:val="000000"/>
          <w:sz w:val="22"/>
          <w:shd w:val="clear" w:color="auto" w:fill="FFFFFF"/>
        </w:rPr>
        <w:t xml:space="preserve">termin od którego konsument może domagać się zapłaty odsetek za opóźnienie nie są uzależnione od złożenia przez konsumenta takiego oświadczenia. </w:t>
      </w:r>
    </w:p>
    <w:p w14:paraId="1BEA2893" w14:textId="295DD803" w:rsidR="00F019E5" w:rsidRPr="00F019E5" w:rsidRDefault="00F019E5" w:rsidP="00F019E5">
      <w:pPr>
        <w:spacing w:after="240" w:line="360" w:lineRule="auto"/>
        <w:jc w:val="both"/>
        <w:rPr>
          <w:b/>
          <w:sz w:val="22"/>
        </w:rPr>
      </w:pPr>
      <w:r w:rsidRPr="00F019E5">
        <w:rPr>
          <w:b/>
          <w:sz w:val="22"/>
        </w:rPr>
        <w:t>Obniżenie roszczenia konsumenta o odsetki kapitałowe</w:t>
      </w:r>
    </w:p>
    <w:p w14:paraId="01234C19" w14:textId="77777777" w:rsidR="00F019E5" w:rsidRPr="00F019E5" w:rsidRDefault="00F019E5" w:rsidP="00F019E5">
      <w:pPr>
        <w:spacing w:after="240" w:line="360" w:lineRule="auto"/>
        <w:jc w:val="both"/>
        <w:rPr>
          <w:sz w:val="22"/>
        </w:rPr>
      </w:pPr>
      <w:r w:rsidRPr="00F019E5">
        <w:rPr>
          <w:sz w:val="22"/>
        </w:rPr>
        <w:t xml:space="preserve">Czwarte z pytań prejudycjalnych w istocie jest zbieżne z zagadnieniem rozstrzygniętym w wyroku z 15 czerwca 2023 r. w sprawie C-520/21 </w:t>
      </w:r>
      <w:r w:rsidRPr="003526EA">
        <w:rPr>
          <w:sz w:val="22"/>
        </w:rPr>
        <w:t>Bank M.</w:t>
      </w:r>
      <w:r w:rsidRPr="00F019E5">
        <w:rPr>
          <w:sz w:val="22"/>
        </w:rPr>
        <w:t xml:space="preserve"> ,w którym TSUE orzekł, że przepisy dyrektywy 93/13/EWG sprzeciwiają się takiej wykładni przepisów krajowych, która </w:t>
      </w:r>
      <w:r w:rsidRPr="00F019E5">
        <w:rPr>
          <w:sz w:val="22"/>
        </w:rPr>
        <w:lastRenderedPageBreak/>
        <w:t xml:space="preserve">umożliwiałaby przedsiębiorcom żądanie zapłaty wynagrodzenia za korzystanie z przedmiotu świadczenia przekazanego konsumentowi na podstawie umowy, która upadła wskutek wyeliminowania z niej niedozwolonych postanowień umownych. </w:t>
      </w:r>
    </w:p>
    <w:p w14:paraId="422B1381" w14:textId="2EF4E20F" w:rsidR="00F019E5" w:rsidRDefault="00F019E5" w:rsidP="00F019E5">
      <w:pPr>
        <w:spacing w:after="240" w:line="360" w:lineRule="auto"/>
        <w:jc w:val="both"/>
        <w:rPr>
          <w:sz w:val="22"/>
        </w:rPr>
      </w:pPr>
      <w:r w:rsidRPr="00F019E5">
        <w:rPr>
          <w:sz w:val="22"/>
        </w:rPr>
        <w:t xml:space="preserve">W obecnym wyroku Trybunał przytoczył </w:t>
      </w:r>
      <w:r w:rsidRPr="003526EA">
        <w:rPr>
          <w:sz w:val="22"/>
        </w:rPr>
        <w:t>wskazany wyrok z 1</w:t>
      </w:r>
      <w:r w:rsidR="00257139" w:rsidRPr="003526EA">
        <w:rPr>
          <w:sz w:val="22"/>
        </w:rPr>
        <w:t>5</w:t>
      </w:r>
      <w:r w:rsidRPr="003526EA">
        <w:rPr>
          <w:sz w:val="22"/>
        </w:rPr>
        <w:t xml:space="preserve"> czerwca</w:t>
      </w:r>
      <w:r w:rsidRPr="00F019E5">
        <w:rPr>
          <w:sz w:val="22"/>
        </w:rPr>
        <w:t xml:space="preserve"> i orzekł, że przepisy dyrektywy 93/13/EWG należy interpretować w taki sposób, że stoją one na przeszkodzie takiej wykładni przepisów prawa krajowego, zgodnie z którą roszczenie konsumenta o zwrot świadczeń, które spełnił na podstawie nieważnej umowy kredytu, powinno zostać obniżone o równowartość odsetek kapitałowych, które przysługiwałyby bankowi, gdyby umowa kredytu była ważna.</w:t>
      </w:r>
    </w:p>
    <w:p w14:paraId="09980D17" w14:textId="77777777" w:rsidR="00F019E5" w:rsidRPr="00F019E5" w:rsidRDefault="00F019E5" w:rsidP="00F019E5">
      <w:pPr>
        <w:spacing w:after="240" w:line="360" w:lineRule="auto"/>
        <w:jc w:val="both"/>
        <w:rPr>
          <w:b/>
          <w:sz w:val="22"/>
        </w:rPr>
      </w:pPr>
      <w:r w:rsidRPr="00F019E5">
        <w:rPr>
          <w:b/>
          <w:sz w:val="22"/>
        </w:rPr>
        <w:t>Kolejne ważne rozstrzygnięcie TSUE już 14 grudnia 2023 r.</w:t>
      </w:r>
    </w:p>
    <w:p w14:paraId="293AE667" w14:textId="77777777" w:rsidR="00F019E5" w:rsidRPr="00F019E5" w:rsidRDefault="00F019E5" w:rsidP="00F019E5">
      <w:pPr>
        <w:spacing w:after="240" w:line="360" w:lineRule="auto"/>
        <w:jc w:val="both"/>
        <w:rPr>
          <w:bCs/>
          <w:sz w:val="22"/>
        </w:rPr>
      </w:pPr>
      <w:r w:rsidRPr="00F019E5">
        <w:rPr>
          <w:sz w:val="22"/>
        </w:rPr>
        <w:t xml:space="preserve">14 grudnia zapadnie kolejne ważne rozstrzygnięcie dla banków i frankowiczów. W sprawie C-28/22 TSUE odpowie na pięć pytań prejudycjalnych Sądu Okręgowego w Warszawie, w związku z uchwałą SN z 7 maja 2021 r. w sprawie terminu biegu przedawnienia roszczeń banku. Trybunał wówczas rozstrzygnie kwestię rozpoczęcia biegu </w:t>
      </w:r>
      <w:r w:rsidRPr="00F019E5">
        <w:rPr>
          <w:b/>
          <w:bCs/>
          <w:sz w:val="22"/>
        </w:rPr>
        <w:t xml:space="preserve">terminu przedawnienia dla banku: </w:t>
      </w:r>
      <w:r w:rsidRPr="00F019E5">
        <w:rPr>
          <w:bCs/>
          <w:sz w:val="22"/>
        </w:rPr>
        <w:t>czy biegnie on od</w:t>
      </w:r>
      <w:r w:rsidRPr="00F019E5">
        <w:rPr>
          <w:b/>
          <w:bCs/>
          <w:sz w:val="22"/>
        </w:rPr>
        <w:t> </w:t>
      </w:r>
      <w:r w:rsidRPr="00F019E5">
        <w:rPr>
          <w:sz w:val="22"/>
        </w:rPr>
        <w:t xml:space="preserve">zgłoszenia przez konsumenta roszczeń wobec przedsiębiorcy, czy od złożenia przez konsumenta oświadczenia o skutkach, jakie wiążą się z brakiem możliwości dalszego obowiązywania umowy, czy też od zweryfikowania w postępowaniu sądowym </w:t>
      </w:r>
      <w:r w:rsidRPr="00F019E5">
        <w:rPr>
          <w:bCs/>
          <w:sz w:val="22"/>
        </w:rPr>
        <w:t xml:space="preserve">wiedzy konsumenta odnośnie do skutków czy wydania przez sąd prawomocnego wyroku rozstrzygającego spór. </w:t>
      </w:r>
      <w:r w:rsidRPr="00F019E5">
        <w:rPr>
          <w:b/>
          <w:sz w:val="22"/>
        </w:rPr>
        <w:t xml:space="preserve">Ponadto Trybunał odniesie się do pytania czy przedsiębiorca powinien sam zweryfikować, czy konsument zna skutki wysunięcia roszczeń oraz </w:t>
      </w:r>
      <w:r w:rsidRPr="00F019E5">
        <w:rPr>
          <w:sz w:val="22"/>
        </w:rPr>
        <w:t>do pytania o</w:t>
      </w:r>
      <w:r w:rsidRPr="00F019E5">
        <w:rPr>
          <w:b/>
          <w:sz w:val="22"/>
        </w:rPr>
        <w:t xml:space="preserve"> </w:t>
      </w:r>
      <w:r w:rsidRPr="00F019E5">
        <w:rPr>
          <w:bCs/>
          <w:sz w:val="22"/>
        </w:rPr>
        <w:t>stosowanie prawa zatrzymania, które powoduje, że przedsiębiorca nie musi płacić odsetek od czasu złożenia oświadczenia o zatrzymaniu - czy jego stosowanie nie jest sprzeczne z zasadą skuteczności dyrektywy 93/13.</w:t>
      </w:r>
    </w:p>
    <w:p w14:paraId="2EDE2FF2" w14:textId="77777777" w:rsidR="00F019E5" w:rsidRDefault="00F019E5" w:rsidP="00F02755">
      <w:pPr>
        <w:pStyle w:val="Tekstkomentarza"/>
        <w:spacing w:line="360" w:lineRule="auto"/>
        <w:jc w:val="both"/>
        <w:rPr>
          <w:rStyle w:val="Pogrubienie"/>
          <w:rFonts w:cs="Tahoma"/>
          <w:color w:val="000000"/>
          <w:sz w:val="22"/>
          <w:shd w:val="clear" w:color="auto" w:fill="FFFFFF"/>
        </w:rPr>
      </w:pPr>
    </w:p>
    <w:p w14:paraId="024CD6C7" w14:textId="77777777" w:rsidR="00F202EF" w:rsidRPr="007E028F" w:rsidRDefault="00F202EF" w:rsidP="00F202EF">
      <w:pPr>
        <w:spacing w:after="240" w:line="360" w:lineRule="auto"/>
        <w:jc w:val="both"/>
        <w:rPr>
          <w:rFonts w:ascii="Tahoma" w:hAnsi="Tahoma" w:cs="Tahoma"/>
          <w:szCs w:val="18"/>
        </w:rPr>
      </w:pPr>
      <w:r w:rsidRPr="007E028F">
        <w:rPr>
          <w:rStyle w:val="Pogrubienie"/>
          <w:rFonts w:ascii="Tahoma" w:eastAsia="Calibri" w:hAnsi="Tahoma" w:cs="Tahoma"/>
          <w:szCs w:val="18"/>
        </w:rPr>
        <w:t>Pomoc dla konsumentów:</w:t>
      </w:r>
    </w:p>
    <w:p w14:paraId="321A38C9" w14:textId="77777777" w:rsidR="00F202EF" w:rsidRPr="008B17B5" w:rsidRDefault="00F202EF" w:rsidP="00F202EF">
      <w:pPr>
        <w:pStyle w:val="NormalnyWeb"/>
        <w:shd w:val="clear" w:color="auto" w:fill="FFFFFF"/>
        <w:spacing w:before="0" w:beforeAutospacing="0" w:after="0" w:afterAutospacing="0"/>
        <w:rPr>
          <w:rFonts w:ascii="Tahoma" w:hAnsi="Tahoma" w:cs="Tahoma"/>
          <w:sz w:val="18"/>
          <w:szCs w:val="18"/>
          <w:lang w:val="pl-PL"/>
        </w:rPr>
      </w:pPr>
      <w:r w:rsidRPr="008B17B5">
        <w:rPr>
          <w:rFonts w:ascii="Tahoma" w:hAnsi="Tahoma" w:cs="Tahoma"/>
          <w:sz w:val="18"/>
          <w:szCs w:val="18"/>
          <w:lang w:val="pl-PL"/>
        </w:rPr>
        <w:t xml:space="preserve">Tel. </w:t>
      </w:r>
      <w:bookmarkStart w:id="1" w:name="_Hlk120527957"/>
      <w:r w:rsidRPr="008B17B5">
        <w:rPr>
          <w:rFonts w:ascii="Tahoma" w:hAnsi="Tahoma" w:cs="Tahoma"/>
          <w:sz w:val="18"/>
          <w:szCs w:val="18"/>
          <w:lang w:val="pl-PL"/>
        </w:rPr>
        <w:t xml:space="preserve">801 440 220 lub 222 66 76 76 </w:t>
      </w:r>
      <w:bookmarkEnd w:id="1"/>
      <w:r w:rsidRPr="008B17B5">
        <w:rPr>
          <w:rFonts w:ascii="Tahoma" w:hAnsi="Tahoma" w:cs="Tahoma"/>
          <w:sz w:val="18"/>
          <w:szCs w:val="18"/>
          <w:lang w:val="pl-PL"/>
        </w:rPr>
        <w:t>– infolinia konsumencka</w:t>
      </w:r>
      <w:r w:rsidRPr="008B17B5">
        <w:rPr>
          <w:rFonts w:ascii="Tahoma" w:hAnsi="Tahoma" w:cs="Tahoma"/>
          <w:color w:val="3C4147"/>
          <w:sz w:val="18"/>
          <w:szCs w:val="18"/>
          <w:lang w:val="pl-PL"/>
        </w:rPr>
        <w:br/>
      </w:r>
      <w:r w:rsidRPr="008B17B5">
        <w:rPr>
          <w:rFonts w:ascii="Tahoma" w:hAnsi="Tahoma" w:cs="Tahoma"/>
          <w:sz w:val="18"/>
          <w:szCs w:val="18"/>
          <w:lang w:val="pl-PL"/>
        </w:rPr>
        <w:t>E-mail: </w:t>
      </w:r>
      <w:hyperlink r:id="rId9" w:history="1">
        <w:r w:rsidRPr="008B17B5">
          <w:rPr>
            <w:rStyle w:val="Hipercze"/>
            <w:rFonts w:ascii="Tahoma" w:hAnsi="Tahoma" w:cs="Tahoma"/>
            <w:sz w:val="18"/>
            <w:szCs w:val="18"/>
            <w:lang w:val="pl-PL"/>
          </w:rPr>
          <w:t>porady@dlakonsumentow.pl</w:t>
        </w:r>
      </w:hyperlink>
      <w:r w:rsidRPr="008B17B5">
        <w:rPr>
          <w:rFonts w:ascii="Tahoma" w:hAnsi="Tahoma" w:cs="Tahoma"/>
          <w:color w:val="3C4147"/>
          <w:sz w:val="18"/>
          <w:szCs w:val="18"/>
          <w:lang w:val="pl-PL"/>
        </w:rPr>
        <w:br/>
      </w:r>
      <w:hyperlink r:id="rId10" w:history="1">
        <w:r w:rsidRPr="008B17B5">
          <w:rPr>
            <w:rStyle w:val="Hipercze"/>
            <w:rFonts w:ascii="Tahoma" w:hAnsi="Tahoma" w:cs="Tahoma"/>
            <w:color w:val="133C8A"/>
            <w:sz w:val="18"/>
            <w:szCs w:val="18"/>
            <w:lang w:val="pl-PL"/>
          </w:rPr>
          <w:t>Rzecznicy konsumentów</w:t>
        </w:r>
      </w:hyperlink>
      <w:r w:rsidRPr="008B17B5">
        <w:rPr>
          <w:rFonts w:ascii="Tahoma" w:hAnsi="Tahoma" w:cs="Tahoma"/>
          <w:color w:val="3C4147"/>
          <w:sz w:val="18"/>
          <w:szCs w:val="18"/>
          <w:lang w:val="pl-PL"/>
        </w:rPr>
        <w:t xml:space="preserve"> – </w:t>
      </w:r>
      <w:r w:rsidRPr="008B17B5">
        <w:rPr>
          <w:rFonts w:ascii="Tahoma" w:hAnsi="Tahoma" w:cs="Tahoma"/>
          <w:sz w:val="18"/>
          <w:szCs w:val="18"/>
          <w:lang w:val="pl-PL"/>
        </w:rPr>
        <w:t>w twoim mieście lub powiecie</w:t>
      </w:r>
    </w:p>
    <w:p w14:paraId="523154D3" w14:textId="571AEBF8" w:rsidR="00F202EF" w:rsidRPr="008B17B5" w:rsidRDefault="008D3BD6" w:rsidP="00F202EF">
      <w:pPr>
        <w:pStyle w:val="NormalnyWeb"/>
        <w:shd w:val="clear" w:color="auto" w:fill="FFFFFF"/>
        <w:spacing w:before="0" w:beforeAutospacing="0" w:after="0" w:afterAutospacing="0"/>
        <w:rPr>
          <w:rFonts w:ascii="Tahoma" w:hAnsi="Tahoma" w:cs="Tahoma"/>
          <w:sz w:val="18"/>
          <w:szCs w:val="18"/>
          <w:lang w:val="pl-PL"/>
        </w:rPr>
      </w:pPr>
      <w:hyperlink r:id="rId11" w:history="1">
        <w:r w:rsidR="00F202EF" w:rsidRPr="008B17B5">
          <w:rPr>
            <w:rStyle w:val="Hipercze"/>
            <w:rFonts w:ascii="Tahoma" w:hAnsi="Tahoma" w:cs="Tahoma"/>
            <w:color w:val="133C8A"/>
            <w:sz w:val="18"/>
            <w:szCs w:val="18"/>
            <w:lang w:val="pl-PL"/>
          </w:rPr>
          <w:t>Rzeczni</w:t>
        </w:r>
        <w:r w:rsidR="00164E48">
          <w:rPr>
            <w:rStyle w:val="Hipercze"/>
            <w:rFonts w:ascii="Tahoma" w:hAnsi="Tahoma" w:cs="Tahoma"/>
            <w:color w:val="133C8A"/>
            <w:sz w:val="18"/>
            <w:szCs w:val="18"/>
            <w:lang w:val="pl-PL"/>
          </w:rPr>
          <w:t>k</w:t>
        </w:r>
        <w:r w:rsidR="00F202EF" w:rsidRPr="008B17B5">
          <w:rPr>
            <w:rStyle w:val="Hipercze"/>
            <w:rFonts w:ascii="Tahoma" w:hAnsi="Tahoma" w:cs="Tahoma"/>
            <w:color w:val="133C8A"/>
            <w:sz w:val="18"/>
            <w:szCs w:val="18"/>
            <w:lang w:val="pl-PL"/>
          </w:rPr>
          <w:t xml:space="preserve"> Finansow</w:t>
        </w:r>
      </w:hyperlink>
      <w:r w:rsidR="00164E48">
        <w:rPr>
          <w:rStyle w:val="Hipercze"/>
          <w:rFonts w:ascii="Tahoma" w:hAnsi="Tahoma" w:cs="Tahoma"/>
          <w:color w:val="133C8A"/>
          <w:sz w:val="18"/>
          <w:szCs w:val="18"/>
          <w:lang w:val="pl-PL"/>
        </w:rPr>
        <w:t>y</w:t>
      </w:r>
      <w:r w:rsidR="00F202EF" w:rsidRPr="008B17B5">
        <w:rPr>
          <w:rFonts w:ascii="Tahoma" w:hAnsi="Tahoma" w:cs="Tahoma"/>
          <w:szCs w:val="18"/>
          <w:shd w:val="clear" w:color="auto" w:fill="FFFFFF"/>
          <w:lang w:val="pl-PL"/>
        </w:rPr>
        <w:t xml:space="preserve"> </w:t>
      </w:r>
      <w:r w:rsidR="00F202EF" w:rsidRPr="008B17B5">
        <w:rPr>
          <w:rFonts w:ascii="Tahoma" w:hAnsi="Tahoma" w:cs="Tahoma"/>
          <w:sz w:val="18"/>
          <w:szCs w:val="18"/>
          <w:lang w:val="pl-PL"/>
        </w:rPr>
        <w:t>–</w:t>
      </w:r>
      <w:r w:rsidR="00F202EF" w:rsidRPr="008B17B5">
        <w:rPr>
          <w:lang w:val="pl-PL"/>
        </w:rPr>
        <w:t xml:space="preserve"> </w:t>
      </w:r>
      <w:r w:rsidR="00164E48">
        <w:rPr>
          <w:rFonts w:ascii="Tahoma" w:hAnsi="Tahoma" w:cs="Tahoma"/>
          <w:sz w:val="18"/>
          <w:szCs w:val="18"/>
          <w:lang w:val="pl-PL"/>
        </w:rPr>
        <w:t>po odrzuceniu reklamacji przez instytucję finansową</w:t>
      </w:r>
    </w:p>
    <w:p w14:paraId="6AEC2A40" w14:textId="16583D38" w:rsidR="008872FC" w:rsidRPr="008B17B5" w:rsidRDefault="008872FC" w:rsidP="00F202EF">
      <w:pPr>
        <w:pStyle w:val="NormalnyWeb"/>
        <w:shd w:val="clear" w:color="auto" w:fill="FFFFFF"/>
        <w:spacing w:before="0" w:beforeAutospacing="0" w:after="0" w:afterAutospacing="0"/>
        <w:rPr>
          <w:lang w:val="pl-PL"/>
        </w:rPr>
      </w:pPr>
    </w:p>
    <w:p w14:paraId="3B89BA81" w14:textId="2DC4CD97" w:rsidR="006E367B" w:rsidRDefault="006E367B" w:rsidP="00A804EC"/>
    <w:p w14:paraId="6D338210" w14:textId="77777777" w:rsidR="006E367B" w:rsidRDefault="006E367B" w:rsidP="00A804EC"/>
    <w:sectPr w:rsidR="006E367B" w:rsidSect="00444043">
      <w:headerReference w:type="default" r:id="rId12"/>
      <w:footerReference w:type="default" r:id="rId13"/>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C2D11" w14:textId="77777777" w:rsidR="008D3BD6" w:rsidRDefault="008D3BD6">
      <w:r>
        <w:separator/>
      </w:r>
    </w:p>
  </w:endnote>
  <w:endnote w:type="continuationSeparator" w:id="0">
    <w:p w14:paraId="5D71AD04" w14:textId="77777777" w:rsidR="008D3BD6" w:rsidRDefault="008D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 xml:space="preserve">WWW.UOKiK.GOV.PL   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    TELEFON KOM. 695 902</w:t>
    </w:r>
    <w:r w:rsidR="006A2065" w:rsidRPr="00B512B5">
      <w:rPr>
        <w:rFonts w:asciiTheme="minorHAnsi" w:hAnsiTheme="minorHAnsi" w:cstheme="minorHAnsi"/>
        <w:color w:val="595959" w:themeColor="text1" w:themeTint="A6"/>
        <w:sz w:val="16"/>
        <w:szCs w:val="16"/>
        <w:lang w:val="pl-PL"/>
      </w:rPr>
      <w:t> </w:t>
    </w:r>
    <w:r w:rsidR="00C21071" w:rsidRPr="00B512B5">
      <w:rPr>
        <w:rFonts w:asciiTheme="minorHAnsi" w:hAnsiTheme="minorHAnsi" w:cstheme="minorHAnsi"/>
        <w:color w:val="595959" w:themeColor="text1" w:themeTint="A6"/>
        <w:sz w:val="16"/>
        <w:szCs w:val="16"/>
        <w:lang w:val="pl-PL"/>
      </w:rPr>
      <w:t>088</w:t>
    </w:r>
  </w:p>
  <w:p w14:paraId="3B4ADA3D"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C21071" w:rsidRPr="00B512B5">
      <w:rPr>
        <w:rFonts w:asciiTheme="minorHAnsi" w:hAnsiTheme="minorHAnsi" w:cstheme="minorHAnsi"/>
        <w:color w:val="595959" w:themeColor="text1" w:themeTint="A6"/>
        <w:sz w:val="16"/>
        <w:szCs w:val="16"/>
        <w:lang w:val="pl-PL"/>
      </w:rPr>
      <w:t xml:space="preserve">  UOKiK  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Twitter: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627C4" w14:textId="77777777" w:rsidR="008D3BD6" w:rsidRDefault="008D3BD6">
      <w:r>
        <w:separator/>
      </w:r>
    </w:p>
  </w:footnote>
  <w:footnote w:type="continuationSeparator" w:id="0">
    <w:p w14:paraId="2F627286" w14:textId="77777777" w:rsidR="008D3BD6" w:rsidRDefault="008D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77777777" w:rsidR="0059016B" w:rsidRDefault="00C81210" w:rsidP="0041396E">
    <w:pPr>
      <w:pStyle w:val="Nagwek"/>
      <w:tabs>
        <w:tab w:val="clear" w:pos="9072"/>
      </w:tabs>
    </w:pPr>
    <w:r>
      <w:rPr>
        <w:noProof/>
        <w:lang w:val="pl-PL" w:eastAsia="pl-PL"/>
      </w:rPr>
      <w:drawing>
        <wp:inline distT="0" distB="0" distL="0" distR="0" wp14:anchorId="5347C3ED" wp14:editId="03343205">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E1072"/>
    <w:multiLevelType w:val="multilevel"/>
    <w:tmpl w:val="1A4C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624C"/>
    <w:multiLevelType w:val="multilevel"/>
    <w:tmpl w:val="8CE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A36DEF"/>
    <w:multiLevelType w:val="hybridMultilevel"/>
    <w:tmpl w:val="5CB06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17"/>
  </w:num>
  <w:num w:numId="5">
    <w:abstractNumId w:val="9"/>
  </w:num>
  <w:num w:numId="6">
    <w:abstractNumId w:val="12"/>
  </w:num>
  <w:num w:numId="7">
    <w:abstractNumId w:val="20"/>
  </w:num>
  <w:num w:numId="8">
    <w:abstractNumId w:val="0"/>
  </w:num>
  <w:num w:numId="9">
    <w:abstractNumId w:val="18"/>
  </w:num>
  <w:num w:numId="10">
    <w:abstractNumId w:val="7"/>
  </w:num>
  <w:num w:numId="11">
    <w:abstractNumId w:val="13"/>
  </w:num>
  <w:num w:numId="12">
    <w:abstractNumId w:val="19"/>
  </w:num>
  <w:num w:numId="13">
    <w:abstractNumId w:val="5"/>
  </w:num>
  <w:num w:numId="14">
    <w:abstractNumId w:val="16"/>
  </w:num>
  <w:num w:numId="15">
    <w:abstractNumId w:val="8"/>
  </w:num>
  <w:num w:numId="16">
    <w:abstractNumId w:val="2"/>
  </w:num>
  <w:num w:numId="17">
    <w:abstractNumId w:val="15"/>
  </w:num>
  <w:num w:numId="18">
    <w:abstractNumId w:val="6"/>
  </w:num>
  <w:num w:numId="19">
    <w:abstractNumId w:val="1"/>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204"/>
    <w:rsid w:val="0000251C"/>
    <w:rsid w:val="00002C19"/>
    <w:rsid w:val="0000713A"/>
    <w:rsid w:val="00007E00"/>
    <w:rsid w:val="00011AF2"/>
    <w:rsid w:val="00013A64"/>
    <w:rsid w:val="00023634"/>
    <w:rsid w:val="0002523D"/>
    <w:rsid w:val="00034A87"/>
    <w:rsid w:val="000358C2"/>
    <w:rsid w:val="00035BA9"/>
    <w:rsid w:val="00042087"/>
    <w:rsid w:val="000426C4"/>
    <w:rsid w:val="00042F96"/>
    <w:rsid w:val="00047B8A"/>
    <w:rsid w:val="00050A7B"/>
    <w:rsid w:val="00053F10"/>
    <w:rsid w:val="00057AB2"/>
    <w:rsid w:val="00057CA0"/>
    <w:rsid w:val="000651E9"/>
    <w:rsid w:val="00073AA7"/>
    <w:rsid w:val="0007715C"/>
    <w:rsid w:val="00082E34"/>
    <w:rsid w:val="00084562"/>
    <w:rsid w:val="0008568B"/>
    <w:rsid w:val="00093348"/>
    <w:rsid w:val="00093FEE"/>
    <w:rsid w:val="00096170"/>
    <w:rsid w:val="000A3211"/>
    <w:rsid w:val="000A4F9E"/>
    <w:rsid w:val="000A74FA"/>
    <w:rsid w:val="000B038C"/>
    <w:rsid w:val="000B149D"/>
    <w:rsid w:val="000B1AC5"/>
    <w:rsid w:val="000B7247"/>
    <w:rsid w:val="000C20F8"/>
    <w:rsid w:val="000D5964"/>
    <w:rsid w:val="000D7606"/>
    <w:rsid w:val="000E20D3"/>
    <w:rsid w:val="000E2756"/>
    <w:rsid w:val="000E4469"/>
    <w:rsid w:val="000E5FC5"/>
    <w:rsid w:val="000F1C64"/>
    <w:rsid w:val="000F67AD"/>
    <w:rsid w:val="001015B8"/>
    <w:rsid w:val="00104EE9"/>
    <w:rsid w:val="0010559C"/>
    <w:rsid w:val="001065B5"/>
    <w:rsid w:val="00107844"/>
    <w:rsid w:val="00120FBD"/>
    <w:rsid w:val="0012229A"/>
    <w:rsid w:val="0012424D"/>
    <w:rsid w:val="0013159A"/>
    <w:rsid w:val="00131F61"/>
    <w:rsid w:val="00135455"/>
    <w:rsid w:val="0014043E"/>
    <w:rsid w:val="00141526"/>
    <w:rsid w:val="00143310"/>
    <w:rsid w:val="00143895"/>
    <w:rsid w:val="001444D5"/>
    <w:rsid w:val="00144E9C"/>
    <w:rsid w:val="00146142"/>
    <w:rsid w:val="00147DB8"/>
    <w:rsid w:val="001532F5"/>
    <w:rsid w:val="00161094"/>
    <w:rsid w:val="00163DF9"/>
    <w:rsid w:val="00164E48"/>
    <w:rsid w:val="001666D6"/>
    <w:rsid w:val="00166B5D"/>
    <w:rsid w:val="001675EF"/>
    <w:rsid w:val="0017028A"/>
    <w:rsid w:val="00171644"/>
    <w:rsid w:val="00173378"/>
    <w:rsid w:val="00175B4D"/>
    <w:rsid w:val="00180B2C"/>
    <w:rsid w:val="0018507C"/>
    <w:rsid w:val="00190D5A"/>
    <w:rsid w:val="001914CC"/>
    <w:rsid w:val="001918E2"/>
    <w:rsid w:val="001979B5"/>
    <w:rsid w:val="001A3149"/>
    <w:rsid w:val="001A5F7C"/>
    <w:rsid w:val="001A6E5B"/>
    <w:rsid w:val="001A7451"/>
    <w:rsid w:val="001B5E84"/>
    <w:rsid w:val="001C1FAD"/>
    <w:rsid w:val="001C2B80"/>
    <w:rsid w:val="001C3FE3"/>
    <w:rsid w:val="001C4D76"/>
    <w:rsid w:val="001C5B95"/>
    <w:rsid w:val="001C5EF0"/>
    <w:rsid w:val="001C659C"/>
    <w:rsid w:val="001C73AA"/>
    <w:rsid w:val="001D248E"/>
    <w:rsid w:val="001D2F14"/>
    <w:rsid w:val="001E17BB"/>
    <w:rsid w:val="001E188E"/>
    <w:rsid w:val="001E4F92"/>
    <w:rsid w:val="001E5921"/>
    <w:rsid w:val="001E6E06"/>
    <w:rsid w:val="001F16B4"/>
    <w:rsid w:val="001F1C63"/>
    <w:rsid w:val="001F394B"/>
    <w:rsid w:val="001F4A73"/>
    <w:rsid w:val="001F6208"/>
    <w:rsid w:val="00200A71"/>
    <w:rsid w:val="002036A4"/>
    <w:rsid w:val="00203A94"/>
    <w:rsid w:val="00205580"/>
    <w:rsid w:val="0020771C"/>
    <w:rsid w:val="00214084"/>
    <w:rsid w:val="00215135"/>
    <w:rsid w:val="002157BB"/>
    <w:rsid w:val="002233E8"/>
    <w:rsid w:val="00224D23"/>
    <w:rsid w:val="0022540B"/>
    <w:rsid w:val="002262B5"/>
    <w:rsid w:val="00227171"/>
    <w:rsid w:val="00230FA6"/>
    <w:rsid w:val="0023138D"/>
    <w:rsid w:val="00233CFA"/>
    <w:rsid w:val="00234D22"/>
    <w:rsid w:val="00240013"/>
    <w:rsid w:val="0024118E"/>
    <w:rsid w:val="00241BAC"/>
    <w:rsid w:val="00250B84"/>
    <w:rsid w:val="00252160"/>
    <w:rsid w:val="00256451"/>
    <w:rsid w:val="00257139"/>
    <w:rsid w:val="002576BC"/>
    <w:rsid w:val="00260382"/>
    <w:rsid w:val="002614E3"/>
    <w:rsid w:val="002628AC"/>
    <w:rsid w:val="002648EB"/>
    <w:rsid w:val="00266CB4"/>
    <w:rsid w:val="00267DD1"/>
    <w:rsid w:val="00267FF0"/>
    <w:rsid w:val="00270508"/>
    <w:rsid w:val="0027152E"/>
    <w:rsid w:val="00274B06"/>
    <w:rsid w:val="00277457"/>
    <w:rsid w:val="002801AA"/>
    <w:rsid w:val="00280DD9"/>
    <w:rsid w:val="0028761A"/>
    <w:rsid w:val="0028778B"/>
    <w:rsid w:val="00295B34"/>
    <w:rsid w:val="002A2D13"/>
    <w:rsid w:val="002A4371"/>
    <w:rsid w:val="002A477E"/>
    <w:rsid w:val="002A5D69"/>
    <w:rsid w:val="002B121C"/>
    <w:rsid w:val="002B1DBF"/>
    <w:rsid w:val="002B4F4B"/>
    <w:rsid w:val="002B4FBF"/>
    <w:rsid w:val="002C0D5D"/>
    <w:rsid w:val="002C4762"/>
    <w:rsid w:val="002C692D"/>
    <w:rsid w:val="002C6ABE"/>
    <w:rsid w:val="002D1B70"/>
    <w:rsid w:val="002D5455"/>
    <w:rsid w:val="002E1064"/>
    <w:rsid w:val="002E15CE"/>
    <w:rsid w:val="002E388C"/>
    <w:rsid w:val="002E5647"/>
    <w:rsid w:val="002E6C0B"/>
    <w:rsid w:val="002F1BF3"/>
    <w:rsid w:val="002F1CEA"/>
    <w:rsid w:val="002F39FD"/>
    <w:rsid w:val="002F4D43"/>
    <w:rsid w:val="002F5450"/>
    <w:rsid w:val="002F5DDB"/>
    <w:rsid w:val="00301F39"/>
    <w:rsid w:val="003020E8"/>
    <w:rsid w:val="003056C6"/>
    <w:rsid w:val="003060E1"/>
    <w:rsid w:val="00311B14"/>
    <w:rsid w:val="0031276A"/>
    <w:rsid w:val="00313EC7"/>
    <w:rsid w:val="00314E90"/>
    <w:rsid w:val="0032000E"/>
    <w:rsid w:val="0032193F"/>
    <w:rsid w:val="00324306"/>
    <w:rsid w:val="0032524B"/>
    <w:rsid w:val="00325336"/>
    <w:rsid w:val="003278D6"/>
    <w:rsid w:val="003302BC"/>
    <w:rsid w:val="003303F0"/>
    <w:rsid w:val="00330B05"/>
    <w:rsid w:val="00330C22"/>
    <w:rsid w:val="00335713"/>
    <w:rsid w:val="0034059B"/>
    <w:rsid w:val="0035019C"/>
    <w:rsid w:val="00352649"/>
    <w:rsid w:val="003526EA"/>
    <w:rsid w:val="00352D4E"/>
    <w:rsid w:val="00354CD6"/>
    <w:rsid w:val="00360248"/>
    <w:rsid w:val="00360C66"/>
    <w:rsid w:val="003621A3"/>
    <w:rsid w:val="00366A46"/>
    <w:rsid w:val="00370341"/>
    <w:rsid w:val="003708DA"/>
    <w:rsid w:val="00371354"/>
    <w:rsid w:val="003717A7"/>
    <w:rsid w:val="00372702"/>
    <w:rsid w:val="00374C7E"/>
    <w:rsid w:val="003769F4"/>
    <w:rsid w:val="00377A0D"/>
    <w:rsid w:val="003843D6"/>
    <w:rsid w:val="003853B3"/>
    <w:rsid w:val="00385D3C"/>
    <w:rsid w:val="0038677D"/>
    <w:rsid w:val="003911F8"/>
    <w:rsid w:val="003929E9"/>
    <w:rsid w:val="00396F5B"/>
    <w:rsid w:val="00397ABB"/>
    <w:rsid w:val="003A2203"/>
    <w:rsid w:val="003C4B64"/>
    <w:rsid w:val="003C4D39"/>
    <w:rsid w:val="003C58F6"/>
    <w:rsid w:val="003D23C6"/>
    <w:rsid w:val="003D3F5D"/>
    <w:rsid w:val="003D3FF4"/>
    <w:rsid w:val="003D7161"/>
    <w:rsid w:val="003E29AB"/>
    <w:rsid w:val="003E2AD2"/>
    <w:rsid w:val="003E3F9D"/>
    <w:rsid w:val="003E69E5"/>
    <w:rsid w:val="003F12A7"/>
    <w:rsid w:val="003F170E"/>
    <w:rsid w:val="003F266C"/>
    <w:rsid w:val="003F2DFE"/>
    <w:rsid w:val="003F53EE"/>
    <w:rsid w:val="0040748E"/>
    <w:rsid w:val="00412206"/>
    <w:rsid w:val="00412C9F"/>
    <w:rsid w:val="004171BA"/>
    <w:rsid w:val="00417347"/>
    <w:rsid w:val="00420DAB"/>
    <w:rsid w:val="004211CC"/>
    <w:rsid w:val="00421F69"/>
    <w:rsid w:val="0042408B"/>
    <w:rsid w:val="00425EE6"/>
    <w:rsid w:val="00427A8A"/>
    <w:rsid w:val="00427AF6"/>
    <w:rsid w:val="00427E08"/>
    <w:rsid w:val="004349BA"/>
    <w:rsid w:val="0043575C"/>
    <w:rsid w:val="004365C7"/>
    <w:rsid w:val="00437415"/>
    <w:rsid w:val="00437AF7"/>
    <w:rsid w:val="004425B7"/>
    <w:rsid w:val="00444043"/>
    <w:rsid w:val="00444A85"/>
    <w:rsid w:val="00444E16"/>
    <w:rsid w:val="00446760"/>
    <w:rsid w:val="0045026F"/>
    <w:rsid w:val="00455370"/>
    <w:rsid w:val="00462CFA"/>
    <w:rsid w:val="004632E5"/>
    <w:rsid w:val="00464A74"/>
    <w:rsid w:val="00464D8C"/>
    <w:rsid w:val="00467587"/>
    <w:rsid w:val="00470E1B"/>
    <w:rsid w:val="0047139D"/>
    <w:rsid w:val="0047174C"/>
    <w:rsid w:val="00473590"/>
    <w:rsid w:val="00482592"/>
    <w:rsid w:val="00484AD3"/>
    <w:rsid w:val="004863F5"/>
    <w:rsid w:val="0048676D"/>
    <w:rsid w:val="00486A35"/>
    <w:rsid w:val="00486DB1"/>
    <w:rsid w:val="0049290B"/>
    <w:rsid w:val="00493E10"/>
    <w:rsid w:val="00495853"/>
    <w:rsid w:val="004972E8"/>
    <w:rsid w:val="0049765D"/>
    <w:rsid w:val="004A0EF3"/>
    <w:rsid w:val="004A1CB3"/>
    <w:rsid w:val="004A3C62"/>
    <w:rsid w:val="004B003C"/>
    <w:rsid w:val="004B08E5"/>
    <w:rsid w:val="004B3F8E"/>
    <w:rsid w:val="004C0F9E"/>
    <w:rsid w:val="004C1243"/>
    <w:rsid w:val="004C2169"/>
    <w:rsid w:val="004C5C26"/>
    <w:rsid w:val="004C6499"/>
    <w:rsid w:val="004C7B80"/>
    <w:rsid w:val="004D176B"/>
    <w:rsid w:val="004D6A69"/>
    <w:rsid w:val="004E3900"/>
    <w:rsid w:val="004F0142"/>
    <w:rsid w:val="004F2D0D"/>
    <w:rsid w:val="004F3AB4"/>
    <w:rsid w:val="004F3EAE"/>
    <w:rsid w:val="004F638A"/>
    <w:rsid w:val="004F7029"/>
    <w:rsid w:val="004F7E99"/>
    <w:rsid w:val="005003F9"/>
    <w:rsid w:val="0050051A"/>
    <w:rsid w:val="005022CB"/>
    <w:rsid w:val="0050417B"/>
    <w:rsid w:val="005118B4"/>
    <w:rsid w:val="005133CE"/>
    <w:rsid w:val="0052033E"/>
    <w:rsid w:val="00521BA3"/>
    <w:rsid w:val="00523E0D"/>
    <w:rsid w:val="00525588"/>
    <w:rsid w:val="0052710E"/>
    <w:rsid w:val="00532D0F"/>
    <w:rsid w:val="005333D6"/>
    <w:rsid w:val="0053340F"/>
    <w:rsid w:val="005429D2"/>
    <w:rsid w:val="005442FC"/>
    <w:rsid w:val="005458CE"/>
    <w:rsid w:val="0054651C"/>
    <w:rsid w:val="00551CE8"/>
    <w:rsid w:val="00552399"/>
    <w:rsid w:val="00553936"/>
    <w:rsid w:val="0055631A"/>
    <w:rsid w:val="0055631D"/>
    <w:rsid w:val="00564F79"/>
    <w:rsid w:val="00565753"/>
    <w:rsid w:val="0057516B"/>
    <w:rsid w:val="00576A7A"/>
    <w:rsid w:val="0058215D"/>
    <w:rsid w:val="00585135"/>
    <w:rsid w:val="00585735"/>
    <w:rsid w:val="00587ECB"/>
    <w:rsid w:val="00590E45"/>
    <w:rsid w:val="00593935"/>
    <w:rsid w:val="005973FD"/>
    <w:rsid w:val="00597C68"/>
    <w:rsid w:val="005A382B"/>
    <w:rsid w:val="005A4047"/>
    <w:rsid w:val="005A73FD"/>
    <w:rsid w:val="005B0F9C"/>
    <w:rsid w:val="005B2CCE"/>
    <w:rsid w:val="005B3CDA"/>
    <w:rsid w:val="005B3F49"/>
    <w:rsid w:val="005B472C"/>
    <w:rsid w:val="005B6151"/>
    <w:rsid w:val="005B7095"/>
    <w:rsid w:val="005C0D39"/>
    <w:rsid w:val="005C1239"/>
    <w:rsid w:val="005C3297"/>
    <w:rsid w:val="005C4AB4"/>
    <w:rsid w:val="005C6232"/>
    <w:rsid w:val="005C62B3"/>
    <w:rsid w:val="005C72F4"/>
    <w:rsid w:val="005D0C33"/>
    <w:rsid w:val="005D5A33"/>
    <w:rsid w:val="005D6F7A"/>
    <w:rsid w:val="005E5B88"/>
    <w:rsid w:val="005E73B8"/>
    <w:rsid w:val="005E78EE"/>
    <w:rsid w:val="005F139F"/>
    <w:rsid w:val="005F18F0"/>
    <w:rsid w:val="005F1EBD"/>
    <w:rsid w:val="005F73C5"/>
    <w:rsid w:val="00600EC3"/>
    <w:rsid w:val="00603D1F"/>
    <w:rsid w:val="006063D0"/>
    <w:rsid w:val="00607083"/>
    <w:rsid w:val="00613C45"/>
    <w:rsid w:val="00622F01"/>
    <w:rsid w:val="006266A4"/>
    <w:rsid w:val="00626CB8"/>
    <w:rsid w:val="00633524"/>
    <w:rsid w:val="00633D4E"/>
    <w:rsid w:val="0063526F"/>
    <w:rsid w:val="006360CA"/>
    <w:rsid w:val="00636FFD"/>
    <w:rsid w:val="00637E86"/>
    <w:rsid w:val="006422DE"/>
    <w:rsid w:val="006436E3"/>
    <w:rsid w:val="006439FA"/>
    <w:rsid w:val="00644387"/>
    <w:rsid w:val="00650228"/>
    <w:rsid w:val="006503C1"/>
    <w:rsid w:val="00651074"/>
    <w:rsid w:val="00651B61"/>
    <w:rsid w:val="00653A61"/>
    <w:rsid w:val="00654BF5"/>
    <w:rsid w:val="00655BFD"/>
    <w:rsid w:val="00660C60"/>
    <w:rsid w:val="00662CFD"/>
    <w:rsid w:val="00663285"/>
    <w:rsid w:val="0067027E"/>
    <w:rsid w:val="006731C4"/>
    <w:rsid w:val="0067485D"/>
    <w:rsid w:val="0068209D"/>
    <w:rsid w:val="00684A86"/>
    <w:rsid w:val="006853ED"/>
    <w:rsid w:val="006925E2"/>
    <w:rsid w:val="0069305E"/>
    <w:rsid w:val="00694C9E"/>
    <w:rsid w:val="00696062"/>
    <w:rsid w:val="006A0171"/>
    <w:rsid w:val="006A2065"/>
    <w:rsid w:val="006A39BD"/>
    <w:rsid w:val="006A3D88"/>
    <w:rsid w:val="006A4A7A"/>
    <w:rsid w:val="006A4D09"/>
    <w:rsid w:val="006A5A21"/>
    <w:rsid w:val="006A7280"/>
    <w:rsid w:val="006A7C6E"/>
    <w:rsid w:val="006B0072"/>
    <w:rsid w:val="006B0848"/>
    <w:rsid w:val="006B3D34"/>
    <w:rsid w:val="006B733D"/>
    <w:rsid w:val="006B7DF8"/>
    <w:rsid w:val="006C34AE"/>
    <w:rsid w:val="006C67AF"/>
    <w:rsid w:val="006D3DC5"/>
    <w:rsid w:val="006D46DA"/>
    <w:rsid w:val="006D49C2"/>
    <w:rsid w:val="006D7CDA"/>
    <w:rsid w:val="006E367B"/>
    <w:rsid w:val="006E5778"/>
    <w:rsid w:val="006E7762"/>
    <w:rsid w:val="006F143B"/>
    <w:rsid w:val="006F185A"/>
    <w:rsid w:val="007012F9"/>
    <w:rsid w:val="00703241"/>
    <w:rsid w:val="007039E2"/>
    <w:rsid w:val="007039EC"/>
    <w:rsid w:val="007041CB"/>
    <w:rsid w:val="007042BD"/>
    <w:rsid w:val="00707C9A"/>
    <w:rsid w:val="00710031"/>
    <w:rsid w:val="00714894"/>
    <w:rsid w:val="0071572D"/>
    <w:rsid w:val="007157BA"/>
    <w:rsid w:val="007169F9"/>
    <w:rsid w:val="007174A6"/>
    <w:rsid w:val="007206BA"/>
    <w:rsid w:val="007209E3"/>
    <w:rsid w:val="007224B3"/>
    <w:rsid w:val="007224B9"/>
    <w:rsid w:val="00726B18"/>
    <w:rsid w:val="00731303"/>
    <w:rsid w:val="007350D1"/>
    <w:rsid w:val="00735F01"/>
    <w:rsid w:val="0073753E"/>
    <w:rsid w:val="007402E0"/>
    <w:rsid w:val="0074030F"/>
    <w:rsid w:val="0074489D"/>
    <w:rsid w:val="00746549"/>
    <w:rsid w:val="007513E4"/>
    <w:rsid w:val="007514AD"/>
    <w:rsid w:val="0075352C"/>
    <w:rsid w:val="00753A06"/>
    <w:rsid w:val="00754A2D"/>
    <w:rsid w:val="0075524D"/>
    <w:rsid w:val="007560B0"/>
    <w:rsid w:val="007567AA"/>
    <w:rsid w:val="00757A0C"/>
    <w:rsid w:val="007627D7"/>
    <w:rsid w:val="0076380D"/>
    <w:rsid w:val="00763F39"/>
    <w:rsid w:val="00764F55"/>
    <w:rsid w:val="0076775D"/>
    <w:rsid w:val="00772598"/>
    <w:rsid w:val="00776C4F"/>
    <w:rsid w:val="00776EE5"/>
    <w:rsid w:val="00777216"/>
    <w:rsid w:val="007824AE"/>
    <w:rsid w:val="00783257"/>
    <w:rsid w:val="007838E4"/>
    <w:rsid w:val="007846DC"/>
    <w:rsid w:val="00784731"/>
    <w:rsid w:val="007857B1"/>
    <w:rsid w:val="00791A37"/>
    <w:rsid w:val="00793840"/>
    <w:rsid w:val="007971E4"/>
    <w:rsid w:val="0079727E"/>
    <w:rsid w:val="007A14EE"/>
    <w:rsid w:val="007A15B2"/>
    <w:rsid w:val="007A19D8"/>
    <w:rsid w:val="007A73E9"/>
    <w:rsid w:val="007B5399"/>
    <w:rsid w:val="007B58DA"/>
    <w:rsid w:val="007C3264"/>
    <w:rsid w:val="007C7AB3"/>
    <w:rsid w:val="007C7B9D"/>
    <w:rsid w:val="007D7F6B"/>
    <w:rsid w:val="007E36E4"/>
    <w:rsid w:val="007E5846"/>
    <w:rsid w:val="007F0ACE"/>
    <w:rsid w:val="007F16B3"/>
    <w:rsid w:val="007F44B9"/>
    <w:rsid w:val="007F5A2F"/>
    <w:rsid w:val="0080006C"/>
    <w:rsid w:val="00800F0E"/>
    <w:rsid w:val="00804024"/>
    <w:rsid w:val="0080486E"/>
    <w:rsid w:val="00812E9B"/>
    <w:rsid w:val="00813EFC"/>
    <w:rsid w:val="00815904"/>
    <w:rsid w:val="0081753E"/>
    <w:rsid w:val="00820299"/>
    <w:rsid w:val="00824369"/>
    <w:rsid w:val="00825775"/>
    <w:rsid w:val="008419BA"/>
    <w:rsid w:val="0084363E"/>
    <w:rsid w:val="008455C7"/>
    <w:rsid w:val="0085010E"/>
    <w:rsid w:val="0085454F"/>
    <w:rsid w:val="00856878"/>
    <w:rsid w:val="00861CE4"/>
    <w:rsid w:val="00861FF4"/>
    <w:rsid w:val="008731EB"/>
    <w:rsid w:val="0087354F"/>
    <w:rsid w:val="00873645"/>
    <w:rsid w:val="00877E08"/>
    <w:rsid w:val="008809B8"/>
    <w:rsid w:val="0088111C"/>
    <w:rsid w:val="008848D1"/>
    <w:rsid w:val="00886E74"/>
    <w:rsid w:val="008872FC"/>
    <w:rsid w:val="00891386"/>
    <w:rsid w:val="00894E75"/>
    <w:rsid w:val="00896985"/>
    <w:rsid w:val="008A05AC"/>
    <w:rsid w:val="008A0725"/>
    <w:rsid w:val="008A0DE6"/>
    <w:rsid w:val="008A464B"/>
    <w:rsid w:val="008B17B5"/>
    <w:rsid w:val="008B1E34"/>
    <w:rsid w:val="008B3775"/>
    <w:rsid w:val="008B3CA7"/>
    <w:rsid w:val="008B4038"/>
    <w:rsid w:val="008B47B1"/>
    <w:rsid w:val="008C0067"/>
    <w:rsid w:val="008C128B"/>
    <w:rsid w:val="008C234D"/>
    <w:rsid w:val="008C53D0"/>
    <w:rsid w:val="008C6ACC"/>
    <w:rsid w:val="008C7176"/>
    <w:rsid w:val="008D35C8"/>
    <w:rsid w:val="008D3BD6"/>
    <w:rsid w:val="008D527A"/>
    <w:rsid w:val="008D56DA"/>
    <w:rsid w:val="008D5771"/>
    <w:rsid w:val="008E06E0"/>
    <w:rsid w:val="008F149F"/>
    <w:rsid w:val="008F472E"/>
    <w:rsid w:val="009015F1"/>
    <w:rsid w:val="009020DF"/>
    <w:rsid w:val="00902556"/>
    <w:rsid w:val="0090338C"/>
    <w:rsid w:val="00903FFD"/>
    <w:rsid w:val="00904C12"/>
    <w:rsid w:val="00907D07"/>
    <w:rsid w:val="0091048E"/>
    <w:rsid w:val="00912EF6"/>
    <w:rsid w:val="00914181"/>
    <w:rsid w:val="00922940"/>
    <w:rsid w:val="00924ABC"/>
    <w:rsid w:val="00933332"/>
    <w:rsid w:val="00936679"/>
    <w:rsid w:val="00936855"/>
    <w:rsid w:val="009369FA"/>
    <w:rsid w:val="0093717D"/>
    <w:rsid w:val="00940E8F"/>
    <w:rsid w:val="009412D8"/>
    <w:rsid w:val="00941AFA"/>
    <w:rsid w:val="00944068"/>
    <w:rsid w:val="00950FE7"/>
    <w:rsid w:val="0095309C"/>
    <w:rsid w:val="0096249E"/>
    <w:rsid w:val="009652F2"/>
    <w:rsid w:val="009719ED"/>
    <w:rsid w:val="00975E11"/>
    <w:rsid w:val="009807E1"/>
    <w:rsid w:val="00986C37"/>
    <w:rsid w:val="009907A2"/>
    <w:rsid w:val="0099273F"/>
    <w:rsid w:val="00997528"/>
    <w:rsid w:val="0099796A"/>
    <w:rsid w:val="009A1C05"/>
    <w:rsid w:val="009B0EAF"/>
    <w:rsid w:val="009B4293"/>
    <w:rsid w:val="009B6BAF"/>
    <w:rsid w:val="009C0036"/>
    <w:rsid w:val="009C0274"/>
    <w:rsid w:val="009C1346"/>
    <w:rsid w:val="009C4DBF"/>
    <w:rsid w:val="009C553B"/>
    <w:rsid w:val="009D05C8"/>
    <w:rsid w:val="009D0F4D"/>
    <w:rsid w:val="009D2847"/>
    <w:rsid w:val="009E3BBB"/>
    <w:rsid w:val="009E3C0B"/>
    <w:rsid w:val="009F3546"/>
    <w:rsid w:val="009F3F04"/>
    <w:rsid w:val="009F5A15"/>
    <w:rsid w:val="009F68CA"/>
    <w:rsid w:val="00A04F60"/>
    <w:rsid w:val="00A11FB9"/>
    <w:rsid w:val="00A126FF"/>
    <w:rsid w:val="00A13244"/>
    <w:rsid w:val="00A1540F"/>
    <w:rsid w:val="00A16B17"/>
    <w:rsid w:val="00A239AA"/>
    <w:rsid w:val="00A30D85"/>
    <w:rsid w:val="00A375CB"/>
    <w:rsid w:val="00A439E8"/>
    <w:rsid w:val="00A44A03"/>
    <w:rsid w:val="00A45753"/>
    <w:rsid w:val="00A511C6"/>
    <w:rsid w:val="00A53423"/>
    <w:rsid w:val="00A56131"/>
    <w:rsid w:val="00A62659"/>
    <w:rsid w:val="00A65E9F"/>
    <w:rsid w:val="00A65F20"/>
    <w:rsid w:val="00A66E4A"/>
    <w:rsid w:val="00A739CA"/>
    <w:rsid w:val="00A73D1A"/>
    <w:rsid w:val="00A74DDC"/>
    <w:rsid w:val="00A75686"/>
    <w:rsid w:val="00A76293"/>
    <w:rsid w:val="00A77DA2"/>
    <w:rsid w:val="00A804EC"/>
    <w:rsid w:val="00A8058F"/>
    <w:rsid w:val="00A85D9D"/>
    <w:rsid w:val="00A86214"/>
    <w:rsid w:val="00A86DA0"/>
    <w:rsid w:val="00A871DF"/>
    <w:rsid w:val="00A920B1"/>
    <w:rsid w:val="00A92C4C"/>
    <w:rsid w:val="00A96763"/>
    <w:rsid w:val="00A9760F"/>
    <w:rsid w:val="00AA04C9"/>
    <w:rsid w:val="00AA3186"/>
    <w:rsid w:val="00AA3B1F"/>
    <w:rsid w:val="00AA602D"/>
    <w:rsid w:val="00AB0DF3"/>
    <w:rsid w:val="00AB336E"/>
    <w:rsid w:val="00AB3D91"/>
    <w:rsid w:val="00AB572D"/>
    <w:rsid w:val="00AB647A"/>
    <w:rsid w:val="00AC1CC1"/>
    <w:rsid w:val="00AC26EC"/>
    <w:rsid w:val="00AC29DC"/>
    <w:rsid w:val="00AC4F69"/>
    <w:rsid w:val="00AE2923"/>
    <w:rsid w:val="00AE3BFA"/>
    <w:rsid w:val="00AE5149"/>
    <w:rsid w:val="00AE79C5"/>
    <w:rsid w:val="00AE7F9D"/>
    <w:rsid w:val="00AF1794"/>
    <w:rsid w:val="00AF44D7"/>
    <w:rsid w:val="00AF70AB"/>
    <w:rsid w:val="00B028F7"/>
    <w:rsid w:val="00B0708D"/>
    <w:rsid w:val="00B075C5"/>
    <w:rsid w:val="00B17C15"/>
    <w:rsid w:val="00B22863"/>
    <w:rsid w:val="00B22BD6"/>
    <w:rsid w:val="00B30F18"/>
    <w:rsid w:val="00B3160D"/>
    <w:rsid w:val="00B35280"/>
    <w:rsid w:val="00B37A95"/>
    <w:rsid w:val="00B41502"/>
    <w:rsid w:val="00B41D1F"/>
    <w:rsid w:val="00B437AD"/>
    <w:rsid w:val="00B51024"/>
    <w:rsid w:val="00B512B5"/>
    <w:rsid w:val="00B568BB"/>
    <w:rsid w:val="00B60CD8"/>
    <w:rsid w:val="00B60F9C"/>
    <w:rsid w:val="00B634F5"/>
    <w:rsid w:val="00B645CE"/>
    <w:rsid w:val="00B647E4"/>
    <w:rsid w:val="00B65AAC"/>
    <w:rsid w:val="00B6769E"/>
    <w:rsid w:val="00B67DBE"/>
    <w:rsid w:val="00B70713"/>
    <w:rsid w:val="00B7121B"/>
    <w:rsid w:val="00B712F2"/>
    <w:rsid w:val="00B71898"/>
    <w:rsid w:val="00B73F22"/>
    <w:rsid w:val="00B769FC"/>
    <w:rsid w:val="00B76F9A"/>
    <w:rsid w:val="00B774D3"/>
    <w:rsid w:val="00B810B2"/>
    <w:rsid w:val="00B8509D"/>
    <w:rsid w:val="00B91A37"/>
    <w:rsid w:val="00B92670"/>
    <w:rsid w:val="00BA26F7"/>
    <w:rsid w:val="00BA61A6"/>
    <w:rsid w:val="00BA73AA"/>
    <w:rsid w:val="00BA79F0"/>
    <w:rsid w:val="00BB5068"/>
    <w:rsid w:val="00BB7AE8"/>
    <w:rsid w:val="00BC14A0"/>
    <w:rsid w:val="00BC1535"/>
    <w:rsid w:val="00BC7504"/>
    <w:rsid w:val="00BD0481"/>
    <w:rsid w:val="00BD14BC"/>
    <w:rsid w:val="00BD2E15"/>
    <w:rsid w:val="00BD4447"/>
    <w:rsid w:val="00BD45FE"/>
    <w:rsid w:val="00BD78A1"/>
    <w:rsid w:val="00BE2623"/>
    <w:rsid w:val="00BE331E"/>
    <w:rsid w:val="00BE3923"/>
    <w:rsid w:val="00BE4BF0"/>
    <w:rsid w:val="00BE5EE5"/>
    <w:rsid w:val="00BE61AC"/>
    <w:rsid w:val="00BE61F8"/>
    <w:rsid w:val="00BE68EE"/>
    <w:rsid w:val="00BE6F92"/>
    <w:rsid w:val="00BE7F63"/>
    <w:rsid w:val="00BF1D51"/>
    <w:rsid w:val="00BF45FB"/>
    <w:rsid w:val="00BF54F5"/>
    <w:rsid w:val="00BF58D5"/>
    <w:rsid w:val="00C0009B"/>
    <w:rsid w:val="00C037A3"/>
    <w:rsid w:val="00C10AB4"/>
    <w:rsid w:val="00C123B1"/>
    <w:rsid w:val="00C16196"/>
    <w:rsid w:val="00C21071"/>
    <w:rsid w:val="00C21B6A"/>
    <w:rsid w:val="00C22E21"/>
    <w:rsid w:val="00C2398C"/>
    <w:rsid w:val="00C25569"/>
    <w:rsid w:val="00C27366"/>
    <w:rsid w:val="00C30EA1"/>
    <w:rsid w:val="00C34BF1"/>
    <w:rsid w:val="00C426B0"/>
    <w:rsid w:val="00C50333"/>
    <w:rsid w:val="00C5259C"/>
    <w:rsid w:val="00C547DF"/>
    <w:rsid w:val="00C63AA8"/>
    <w:rsid w:val="00C7783C"/>
    <w:rsid w:val="00C81210"/>
    <w:rsid w:val="00C8184F"/>
    <w:rsid w:val="00C9148D"/>
    <w:rsid w:val="00CA321A"/>
    <w:rsid w:val="00CA555C"/>
    <w:rsid w:val="00CA5A76"/>
    <w:rsid w:val="00CA6B58"/>
    <w:rsid w:val="00CA6CE4"/>
    <w:rsid w:val="00CA6DF7"/>
    <w:rsid w:val="00CA6F29"/>
    <w:rsid w:val="00CB0BFE"/>
    <w:rsid w:val="00CB133E"/>
    <w:rsid w:val="00CB1AE6"/>
    <w:rsid w:val="00CB3B6B"/>
    <w:rsid w:val="00CB3ED4"/>
    <w:rsid w:val="00CB3F86"/>
    <w:rsid w:val="00CB611A"/>
    <w:rsid w:val="00CB6B09"/>
    <w:rsid w:val="00CB7742"/>
    <w:rsid w:val="00CC0C57"/>
    <w:rsid w:val="00CD05E8"/>
    <w:rsid w:val="00CD34F0"/>
    <w:rsid w:val="00CE0954"/>
    <w:rsid w:val="00CE1220"/>
    <w:rsid w:val="00CE5CED"/>
    <w:rsid w:val="00CE6CD4"/>
    <w:rsid w:val="00CE7072"/>
    <w:rsid w:val="00CE7998"/>
    <w:rsid w:val="00CF11F7"/>
    <w:rsid w:val="00CF1220"/>
    <w:rsid w:val="00CF1FCB"/>
    <w:rsid w:val="00CF2DB2"/>
    <w:rsid w:val="00CF3281"/>
    <w:rsid w:val="00D03B33"/>
    <w:rsid w:val="00D0650A"/>
    <w:rsid w:val="00D11351"/>
    <w:rsid w:val="00D1148D"/>
    <w:rsid w:val="00D11AF7"/>
    <w:rsid w:val="00D12075"/>
    <w:rsid w:val="00D1323F"/>
    <w:rsid w:val="00D133BD"/>
    <w:rsid w:val="00D172C3"/>
    <w:rsid w:val="00D202BA"/>
    <w:rsid w:val="00D2034C"/>
    <w:rsid w:val="00D22264"/>
    <w:rsid w:val="00D251AC"/>
    <w:rsid w:val="00D26B1D"/>
    <w:rsid w:val="00D30CAC"/>
    <w:rsid w:val="00D35C23"/>
    <w:rsid w:val="00D4089E"/>
    <w:rsid w:val="00D42CEF"/>
    <w:rsid w:val="00D43766"/>
    <w:rsid w:val="00D45C0D"/>
    <w:rsid w:val="00D47CCF"/>
    <w:rsid w:val="00D50AC5"/>
    <w:rsid w:val="00D52B45"/>
    <w:rsid w:val="00D5318E"/>
    <w:rsid w:val="00D53399"/>
    <w:rsid w:val="00D568CF"/>
    <w:rsid w:val="00D57CDC"/>
    <w:rsid w:val="00D620EC"/>
    <w:rsid w:val="00D6457B"/>
    <w:rsid w:val="00D6460A"/>
    <w:rsid w:val="00D650E2"/>
    <w:rsid w:val="00D66DEC"/>
    <w:rsid w:val="00D67583"/>
    <w:rsid w:val="00D67A14"/>
    <w:rsid w:val="00D70306"/>
    <w:rsid w:val="00D71A41"/>
    <w:rsid w:val="00D758A6"/>
    <w:rsid w:val="00D75A7B"/>
    <w:rsid w:val="00D768A4"/>
    <w:rsid w:val="00D82788"/>
    <w:rsid w:val="00D841CA"/>
    <w:rsid w:val="00D84973"/>
    <w:rsid w:val="00D92100"/>
    <w:rsid w:val="00D92F52"/>
    <w:rsid w:val="00D93CAA"/>
    <w:rsid w:val="00D962BB"/>
    <w:rsid w:val="00DA00CF"/>
    <w:rsid w:val="00DA023A"/>
    <w:rsid w:val="00DA24CB"/>
    <w:rsid w:val="00DA753F"/>
    <w:rsid w:val="00DA78C1"/>
    <w:rsid w:val="00DB0721"/>
    <w:rsid w:val="00DB0D38"/>
    <w:rsid w:val="00DB2957"/>
    <w:rsid w:val="00DB610A"/>
    <w:rsid w:val="00DB7E43"/>
    <w:rsid w:val="00DC182C"/>
    <w:rsid w:val="00DC185E"/>
    <w:rsid w:val="00DC5754"/>
    <w:rsid w:val="00DC779C"/>
    <w:rsid w:val="00DC77F9"/>
    <w:rsid w:val="00DD007E"/>
    <w:rsid w:val="00DD06C3"/>
    <w:rsid w:val="00DD34A3"/>
    <w:rsid w:val="00DD3F1F"/>
    <w:rsid w:val="00DD6056"/>
    <w:rsid w:val="00DE325C"/>
    <w:rsid w:val="00DE657E"/>
    <w:rsid w:val="00DE78F8"/>
    <w:rsid w:val="00DE7C6A"/>
    <w:rsid w:val="00DF2857"/>
    <w:rsid w:val="00DF3FF8"/>
    <w:rsid w:val="00DF4954"/>
    <w:rsid w:val="00DF782B"/>
    <w:rsid w:val="00E00E47"/>
    <w:rsid w:val="00E03AEF"/>
    <w:rsid w:val="00E102DE"/>
    <w:rsid w:val="00E11F5D"/>
    <w:rsid w:val="00E129C3"/>
    <w:rsid w:val="00E1478E"/>
    <w:rsid w:val="00E2122C"/>
    <w:rsid w:val="00E24825"/>
    <w:rsid w:val="00E26C55"/>
    <w:rsid w:val="00E302DB"/>
    <w:rsid w:val="00E30DDE"/>
    <w:rsid w:val="00E312DA"/>
    <w:rsid w:val="00E36532"/>
    <w:rsid w:val="00E37FCF"/>
    <w:rsid w:val="00E42093"/>
    <w:rsid w:val="00E436BF"/>
    <w:rsid w:val="00E522AD"/>
    <w:rsid w:val="00E56E91"/>
    <w:rsid w:val="00E6302C"/>
    <w:rsid w:val="00E64103"/>
    <w:rsid w:val="00E65B4D"/>
    <w:rsid w:val="00E6644D"/>
    <w:rsid w:val="00E66C68"/>
    <w:rsid w:val="00E76CD1"/>
    <w:rsid w:val="00E775D4"/>
    <w:rsid w:val="00E80A6E"/>
    <w:rsid w:val="00E80EED"/>
    <w:rsid w:val="00E847D4"/>
    <w:rsid w:val="00E86FB5"/>
    <w:rsid w:val="00E917A6"/>
    <w:rsid w:val="00E95B73"/>
    <w:rsid w:val="00EA090B"/>
    <w:rsid w:val="00EA1836"/>
    <w:rsid w:val="00EA22F9"/>
    <w:rsid w:val="00EA4D0D"/>
    <w:rsid w:val="00EC017D"/>
    <w:rsid w:val="00EC0263"/>
    <w:rsid w:val="00EC39F1"/>
    <w:rsid w:val="00EC4C16"/>
    <w:rsid w:val="00ED3DAA"/>
    <w:rsid w:val="00ED45B4"/>
    <w:rsid w:val="00ED59FB"/>
    <w:rsid w:val="00ED6F4B"/>
    <w:rsid w:val="00ED711D"/>
    <w:rsid w:val="00EE0554"/>
    <w:rsid w:val="00EE4AD8"/>
    <w:rsid w:val="00EE789A"/>
    <w:rsid w:val="00EF1CAB"/>
    <w:rsid w:val="00EF730D"/>
    <w:rsid w:val="00F019E5"/>
    <w:rsid w:val="00F02755"/>
    <w:rsid w:val="00F07FA7"/>
    <w:rsid w:val="00F10458"/>
    <w:rsid w:val="00F119B5"/>
    <w:rsid w:val="00F12E58"/>
    <w:rsid w:val="00F139AC"/>
    <w:rsid w:val="00F1467E"/>
    <w:rsid w:val="00F14A50"/>
    <w:rsid w:val="00F16000"/>
    <w:rsid w:val="00F1768D"/>
    <w:rsid w:val="00F201E4"/>
    <w:rsid w:val="00F202EF"/>
    <w:rsid w:val="00F20759"/>
    <w:rsid w:val="00F214F2"/>
    <w:rsid w:val="00F21EAC"/>
    <w:rsid w:val="00F24E3C"/>
    <w:rsid w:val="00F251F1"/>
    <w:rsid w:val="00F3044B"/>
    <w:rsid w:val="00F3243D"/>
    <w:rsid w:val="00F33E9B"/>
    <w:rsid w:val="00F36E4D"/>
    <w:rsid w:val="00F37B58"/>
    <w:rsid w:val="00F40908"/>
    <w:rsid w:val="00F40DC6"/>
    <w:rsid w:val="00F414C2"/>
    <w:rsid w:val="00F41BEB"/>
    <w:rsid w:val="00F45115"/>
    <w:rsid w:val="00F46D0D"/>
    <w:rsid w:val="00F50AD0"/>
    <w:rsid w:val="00F5218F"/>
    <w:rsid w:val="00F529BF"/>
    <w:rsid w:val="00F535ED"/>
    <w:rsid w:val="00F568A9"/>
    <w:rsid w:val="00F56DE6"/>
    <w:rsid w:val="00F60790"/>
    <w:rsid w:val="00F61104"/>
    <w:rsid w:val="00F62F63"/>
    <w:rsid w:val="00F63E9C"/>
    <w:rsid w:val="00F82DE3"/>
    <w:rsid w:val="00F8406E"/>
    <w:rsid w:val="00F90158"/>
    <w:rsid w:val="00F92B59"/>
    <w:rsid w:val="00F931B3"/>
    <w:rsid w:val="00F936E2"/>
    <w:rsid w:val="00F948BC"/>
    <w:rsid w:val="00F94B48"/>
    <w:rsid w:val="00F953FA"/>
    <w:rsid w:val="00F960CF"/>
    <w:rsid w:val="00FA10A3"/>
    <w:rsid w:val="00FA1226"/>
    <w:rsid w:val="00FA1C55"/>
    <w:rsid w:val="00FA209C"/>
    <w:rsid w:val="00FB10B5"/>
    <w:rsid w:val="00FB4E3C"/>
    <w:rsid w:val="00FC04F1"/>
    <w:rsid w:val="00FC1420"/>
    <w:rsid w:val="00FC1EED"/>
    <w:rsid w:val="00FC4958"/>
    <w:rsid w:val="00FD09D8"/>
    <w:rsid w:val="00FD2EB2"/>
    <w:rsid w:val="00FE12AF"/>
    <w:rsid w:val="00FE422B"/>
    <w:rsid w:val="00FF013F"/>
    <w:rsid w:val="00FF170C"/>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styleId="Nierozpoznanawzmianka">
    <w:name w:val="Unresolved Mention"/>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character" w:customStyle="1" w:styleId="pel">
    <w:name w:val="_pe_l"/>
    <w:basedOn w:val="Domylnaczcionkaakapitu"/>
    <w:rsid w:val="001015B8"/>
  </w:style>
  <w:style w:type="character" w:customStyle="1" w:styleId="bidi">
    <w:name w:val="bidi"/>
    <w:basedOn w:val="Domylnaczcionkaakapitu"/>
    <w:rsid w:val="001015B8"/>
  </w:style>
  <w:style w:type="character" w:customStyle="1" w:styleId="rpk1">
    <w:name w:val="_rp_k1"/>
    <w:basedOn w:val="Domylnaczcionkaakapitu"/>
    <w:rsid w:val="001015B8"/>
  </w:style>
  <w:style w:type="character" w:customStyle="1" w:styleId="rpu1">
    <w:name w:val="_rp_u1"/>
    <w:basedOn w:val="Domylnaczcionkaakapitu"/>
    <w:rsid w:val="001015B8"/>
  </w:style>
  <w:style w:type="character" w:customStyle="1" w:styleId="allowtextselection">
    <w:name w:val="allowtextselection"/>
    <w:basedOn w:val="Domylnaczcionkaakapitu"/>
    <w:rsid w:val="001015B8"/>
  </w:style>
  <w:style w:type="character" w:customStyle="1" w:styleId="ms-font-color-neutralsecondary">
    <w:name w:val="ms-font-color-neutralsecondary"/>
    <w:basedOn w:val="Domylnaczcionkaakapitu"/>
    <w:rsid w:val="001015B8"/>
  </w:style>
  <w:style w:type="paragraph" w:styleId="Tekstprzypisudolnego">
    <w:name w:val="footnote text"/>
    <w:aliases w:val="fn,Znak Znak Znak Znak,Znak Znak,Tekst przypisu,Podrozdział,Podrozdzia3,Tekst przypisu Znak Znak Znak Znak,Tekst przypisu Znak Znak Znak Znak Znak,Tekst przypisu Znak Znak Znak Znak Znak Znak Znak, Znak,Footnote Text Char1"/>
    <w:basedOn w:val="Normalny"/>
    <w:link w:val="TekstprzypisudolnegoZnak"/>
    <w:uiPriority w:val="99"/>
    <w:unhideWhenUsed/>
    <w:qFormat/>
    <w:rsid w:val="00EF1CAB"/>
    <w:pPr>
      <w:jc w:val="both"/>
    </w:pPr>
    <w:rPr>
      <w:sz w:val="20"/>
      <w:szCs w:val="20"/>
      <w:lang w:val="x-none" w:eastAsia="x-none"/>
    </w:rPr>
  </w:style>
  <w:style w:type="character" w:customStyle="1" w:styleId="TekstprzypisudolnegoZnak">
    <w:name w:val="Tekst przypisu dolnego Znak"/>
    <w:aliases w:val="fn Znak,Znak Znak Znak Znak Znak,Znak Znak Znak,Tekst przypisu Znak,Podrozdział Znak,Podrozdzia3 Znak,Tekst przypisu Znak Znak Znak Znak Znak1,Tekst przypisu Znak Znak Znak Znak Znak Znak, Znak Znak,Footnote Text Char1 Znak"/>
    <w:basedOn w:val="Domylnaczcionkaakapitu"/>
    <w:link w:val="Tekstprzypisudolnego"/>
    <w:uiPriority w:val="99"/>
    <w:qFormat/>
    <w:rsid w:val="00EF1CAB"/>
    <w:rPr>
      <w:rFonts w:ascii="Trebuchet MS" w:eastAsia="Times New Roman" w:hAnsi="Trebuchet MS" w:cs="Times New Roman"/>
      <w:sz w:val="20"/>
      <w:szCs w:val="20"/>
      <w:lang w:val="x-none" w:eastAsia="x-none"/>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rsid w:val="00EF1C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581">
      <w:bodyDiv w:val="1"/>
      <w:marLeft w:val="0"/>
      <w:marRight w:val="0"/>
      <w:marTop w:val="0"/>
      <w:marBottom w:val="0"/>
      <w:divBdr>
        <w:top w:val="none" w:sz="0" w:space="0" w:color="auto"/>
        <w:left w:val="none" w:sz="0" w:space="0" w:color="auto"/>
        <w:bottom w:val="none" w:sz="0" w:space="0" w:color="auto"/>
        <w:right w:val="none" w:sz="0" w:space="0" w:color="auto"/>
      </w:divBdr>
    </w:div>
    <w:div w:id="55781089">
      <w:bodyDiv w:val="1"/>
      <w:marLeft w:val="0"/>
      <w:marRight w:val="0"/>
      <w:marTop w:val="0"/>
      <w:marBottom w:val="0"/>
      <w:divBdr>
        <w:top w:val="none" w:sz="0" w:space="0" w:color="auto"/>
        <w:left w:val="none" w:sz="0" w:space="0" w:color="auto"/>
        <w:bottom w:val="none" w:sz="0" w:space="0" w:color="auto"/>
        <w:right w:val="none" w:sz="0" w:space="0" w:color="auto"/>
      </w:divBdr>
    </w:div>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537743077">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047143112">
      <w:bodyDiv w:val="1"/>
      <w:marLeft w:val="0"/>
      <w:marRight w:val="0"/>
      <w:marTop w:val="0"/>
      <w:marBottom w:val="0"/>
      <w:divBdr>
        <w:top w:val="none" w:sz="0" w:space="0" w:color="auto"/>
        <w:left w:val="none" w:sz="0" w:space="0" w:color="auto"/>
        <w:bottom w:val="none" w:sz="0" w:space="0" w:color="auto"/>
        <w:right w:val="none" w:sz="0" w:space="0" w:color="auto"/>
      </w:divBdr>
      <w:divsChild>
        <w:div w:id="672536157">
          <w:marLeft w:val="0"/>
          <w:marRight w:val="0"/>
          <w:marTop w:val="0"/>
          <w:marBottom w:val="60"/>
          <w:divBdr>
            <w:top w:val="none" w:sz="0" w:space="0" w:color="auto"/>
            <w:left w:val="none" w:sz="0" w:space="0" w:color="auto"/>
            <w:bottom w:val="none" w:sz="0" w:space="0" w:color="auto"/>
            <w:right w:val="none" w:sz="0" w:space="0" w:color="auto"/>
          </w:divBdr>
          <w:divsChild>
            <w:div w:id="1946500508">
              <w:marLeft w:val="0"/>
              <w:marRight w:val="0"/>
              <w:marTop w:val="0"/>
              <w:marBottom w:val="0"/>
              <w:divBdr>
                <w:top w:val="none" w:sz="0" w:space="0" w:color="auto"/>
                <w:left w:val="none" w:sz="0" w:space="0" w:color="auto"/>
                <w:bottom w:val="none" w:sz="0" w:space="0" w:color="auto"/>
                <w:right w:val="none" w:sz="0" w:space="0" w:color="auto"/>
              </w:divBdr>
              <w:divsChild>
                <w:div w:id="187569643">
                  <w:marLeft w:val="0"/>
                  <w:marRight w:val="0"/>
                  <w:marTop w:val="0"/>
                  <w:marBottom w:val="0"/>
                  <w:divBdr>
                    <w:top w:val="none" w:sz="0" w:space="0" w:color="auto"/>
                    <w:left w:val="none" w:sz="0" w:space="0" w:color="auto"/>
                    <w:bottom w:val="none" w:sz="0" w:space="0" w:color="auto"/>
                    <w:right w:val="none" w:sz="0" w:space="0" w:color="auto"/>
                  </w:divBdr>
                  <w:divsChild>
                    <w:div w:id="362487543">
                      <w:marLeft w:val="0"/>
                      <w:marRight w:val="0"/>
                      <w:marTop w:val="0"/>
                      <w:marBottom w:val="30"/>
                      <w:divBdr>
                        <w:top w:val="none" w:sz="0" w:space="0" w:color="auto"/>
                        <w:left w:val="none" w:sz="0" w:space="0" w:color="auto"/>
                        <w:bottom w:val="none" w:sz="0" w:space="0" w:color="auto"/>
                        <w:right w:val="none" w:sz="0" w:space="0" w:color="auto"/>
                      </w:divBdr>
                      <w:divsChild>
                        <w:div w:id="185339515">
                          <w:marLeft w:val="0"/>
                          <w:marRight w:val="0"/>
                          <w:marTop w:val="0"/>
                          <w:marBottom w:val="0"/>
                          <w:divBdr>
                            <w:top w:val="none" w:sz="0" w:space="0" w:color="auto"/>
                            <w:left w:val="none" w:sz="0" w:space="0" w:color="auto"/>
                            <w:bottom w:val="none" w:sz="0" w:space="0" w:color="auto"/>
                            <w:right w:val="none" w:sz="0" w:space="0" w:color="auto"/>
                          </w:divBdr>
                          <w:divsChild>
                            <w:div w:id="95372206">
                              <w:marLeft w:val="0"/>
                              <w:marRight w:val="0"/>
                              <w:marTop w:val="0"/>
                              <w:marBottom w:val="0"/>
                              <w:divBdr>
                                <w:top w:val="none" w:sz="0" w:space="0" w:color="auto"/>
                                <w:left w:val="none" w:sz="0" w:space="0" w:color="auto"/>
                                <w:bottom w:val="none" w:sz="0" w:space="0" w:color="auto"/>
                                <w:right w:val="none" w:sz="0" w:space="0" w:color="auto"/>
                              </w:divBdr>
                              <w:divsChild>
                                <w:div w:id="706686092">
                                  <w:marLeft w:val="0"/>
                                  <w:marRight w:val="0"/>
                                  <w:marTop w:val="0"/>
                                  <w:marBottom w:val="0"/>
                                  <w:divBdr>
                                    <w:top w:val="none" w:sz="0" w:space="0" w:color="auto"/>
                                    <w:left w:val="none" w:sz="0" w:space="0" w:color="auto"/>
                                    <w:bottom w:val="none" w:sz="0" w:space="0" w:color="auto"/>
                                    <w:right w:val="none" w:sz="0" w:space="0" w:color="auto"/>
                                  </w:divBdr>
                                  <w:divsChild>
                                    <w:div w:id="24911185">
                                      <w:marLeft w:val="0"/>
                                      <w:marRight w:val="0"/>
                                      <w:marTop w:val="0"/>
                                      <w:marBottom w:val="0"/>
                                      <w:divBdr>
                                        <w:top w:val="none" w:sz="0" w:space="0" w:color="auto"/>
                                        <w:left w:val="none" w:sz="0" w:space="0" w:color="auto"/>
                                        <w:bottom w:val="none" w:sz="0" w:space="0" w:color="auto"/>
                                        <w:right w:val="none" w:sz="0" w:space="0" w:color="auto"/>
                                      </w:divBdr>
                                      <w:divsChild>
                                        <w:div w:id="749693766">
                                          <w:marLeft w:val="0"/>
                                          <w:marRight w:val="0"/>
                                          <w:marTop w:val="0"/>
                                          <w:marBottom w:val="0"/>
                                          <w:divBdr>
                                            <w:top w:val="none" w:sz="0" w:space="0" w:color="auto"/>
                                            <w:left w:val="none" w:sz="0" w:space="0" w:color="auto"/>
                                            <w:bottom w:val="none" w:sz="0" w:space="0" w:color="auto"/>
                                            <w:right w:val="none" w:sz="0" w:space="0" w:color="auto"/>
                                          </w:divBdr>
                                          <w:divsChild>
                                            <w:div w:id="1204560019">
                                              <w:marLeft w:val="0"/>
                                              <w:marRight w:val="0"/>
                                              <w:marTop w:val="0"/>
                                              <w:marBottom w:val="75"/>
                                              <w:divBdr>
                                                <w:top w:val="none" w:sz="0" w:space="0" w:color="auto"/>
                                                <w:left w:val="none" w:sz="0" w:space="0" w:color="auto"/>
                                                <w:bottom w:val="none" w:sz="0" w:space="0" w:color="auto"/>
                                                <w:right w:val="none" w:sz="0" w:space="0" w:color="auto"/>
                                              </w:divBdr>
                                              <w:divsChild>
                                                <w:div w:id="1512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07949">
                                  <w:marLeft w:val="0"/>
                                  <w:marRight w:val="0"/>
                                  <w:marTop w:val="0"/>
                                  <w:marBottom w:val="0"/>
                                  <w:divBdr>
                                    <w:top w:val="none" w:sz="0" w:space="0" w:color="auto"/>
                                    <w:left w:val="none" w:sz="0" w:space="0" w:color="auto"/>
                                    <w:bottom w:val="none" w:sz="0" w:space="0" w:color="auto"/>
                                    <w:right w:val="none" w:sz="0" w:space="0" w:color="auto"/>
                                  </w:divBdr>
                                  <w:divsChild>
                                    <w:div w:id="621427892">
                                      <w:marLeft w:val="0"/>
                                      <w:marRight w:val="0"/>
                                      <w:marTop w:val="0"/>
                                      <w:marBottom w:val="0"/>
                                      <w:divBdr>
                                        <w:top w:val="none" w:sz="0" w:space="0" w:color="auto"/>
                                        <w:left w:val="none" w:sz="0" w:space="0" w:color="auto"/>
                                        <w:bottom w:val="none" w:sz="0" w:space="0" w:color="auto"/>
                                        <w:right w:val="none" w:sz="0" w:space="0" w:color="auto"/>
                                      </w:divBdr>
                                      <w:divsChild>
                                        <w:div w:id="131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4564">
                                  <w:marLeft w:val="0"/>
                                  <w:marRight w:val="0"/>
                                  <w:marTop w:val="0"/>
                                  <w:marBottom w:val="0"/>
                                  <w:divBdr>
                                    <w:top w:val="none" w:sz="0" w:space="0" w:color="auto"/>
                                    <w:left w:val="none" w:sz="0" w:space="0" w:color="auto"/>
                                    <w:bottom w:val="none" w:sz="0" w:space="0" w:color="auto"/>
                                    <w:right w:val="none" w:sz="0" w:space="0" w:color="auto"/>
                                  </w:divBdr>
                                  <w:divsChild>
                                    <w:div w:id="1240753521">
                                      <w:marLeft w:val="0"/>
                                      <w:marRight w:val="0"/>
                                      <w:marTop w:val="0"/>
                                      <w:marBottom w:val="0"/>
                                      <w:divBdr>
                                        <w:top w:val="none" w:sz="0" w:space="0" w:color="auto"/>
                                        <w:left w:val="none" w:sz="0" w:space="0" w:color="auto"/>
                                        <w:bottom w:val="none" w:sz="0" w:space="0" w:color="auto"/>
                                        <w:right w:val="none" w:sz="0" w:space="0" w:color="auto"/>
                                      </w:divBdr>
                                      <w:divsChild>
                                        <w:div w:id="464397215">
                                          <w:marLeft w:val="0"/>
                                          <w:marRight w:val="0"/>
                                          <w:marTop w:val="0"/>
                                          <w:marBottom w:val="0"/>
                                          <w:divBdr>
                                            <w:top w:val="none" w:sz="0" w:space="0" w:color="auto"/>
                                            <w:left w:val="none" w:sz="0" w:space="0" w:color="auto"/>
                                            <w:bottom w:val="none" w:sz="0" w:space="0" w:color="auto"/>
                                            <w:right w:val="none" w:sz="0" w:space="0" w:color="auto"/>
                                          </w:divBdr>
                                          <w:divsChild>
                                            <w:div w:id="647051736">
                                              <w:marLeft w:val="0"/>
                                              <w:marRight w:val="0"/>
                                              <w:marTop w:val="0"/>
                                              <w:marBottom w:val="0"/>
                                              <w:divBdr>
                                                <w:top w:val="none" w:sz="0" w:space="0" w:color="auto"/>
                                                <w:left w:val="none" w:sz="0" w:space="0" w:color="auto"/>
                                                <w:bottom w:val="none" w:sz="0" w:space="0" w:color="auto"/>
                                                <w:right w:val="none" w:sz="0" w:space="0" w:color="auto"/>
                                              </w:divBdr>
                                            </w:div>
                                          </w:divsChild>
                                        </w:div>
                                        <w:div w:id="1947496014">
                                          <w:marLeft w:val="0"/>
                                          <w:marRight w:val="0"/>
                                          <w:marTop w:val="0"/>
                                          <w:marBottom w:val="0"/>
                                          <w:divBdr>
                                            <w:top w:val="none" w:sz="0" w:space="0" w:color="auto"/>
                                            <w:left w:val="none" w:sz="0" w:space="0" w:color="auto"/>
                                            <w:bottom w:val="none" w:sz="0" w:space="0" w:color="auto"/>
                                            <w:right w:val="none" w:sz="0" w:space="0" w:color="auto"/>
                                          </w:divBdr>
                                          <w:divsChild>
                                            <w:div w:id="532886901">
                                              <w:marLeft w:val="0"/>
                                              <w:marRight w:val="0"/>
                                              <w:marTop w:val="0"/>
                                              <w:marBottom w:val="0"/>
                                              <w:divBdr>
                                                <w:top w:val="none" w:sz="0" w:space="0" w:color="auto"/>
                                                <w:left w:val="none" w:sz="0" w:space="0" w:color="auto"/>
                                                <w:bottom w:val="none" w:sz="0" w:space="0" w:color="auto"/>
                                                <w:right w:val="none" w:sz="0" w:space="0" w:color="auto"/>
                                              </w:divBdr>
                                              <w:divsChild>
                                                <w:div w:id="1001740051">
                                                  <w:marLeft w:val="0"/>
                                                  <w:marRight w:val="0"/>
                                                  <w:marTop w:val="0"/>
                                                  <w:marBottom w:val="0"/>
                                                  <w:divBdr>
                                                    <w:top w:val="none" w:sz="0" w:space="0" w:color="auto"/>
                                                    <w:left w:val="none" w:sz="0" w:space="0" w:color="auto"/>
                                                    <w:bottom w:val="none" w:sz="0" w:space="0" w:color="auto"/>
                                                    <w:right w:val="none" w:sz="0" w:space="0" w:color="auto"/>
                                                  </w:divBdr>
                                                  <w:divsChild>
                                                    <w:div w:id="1744722278">
                                                      <w:marLeft w:val="0"/>
                                                      <w:marRight w:val="0"/>
                                                      <w:marTop w:val="0"/>
                                                      <w:marBottom w:val="0"/>
                                                      <w:divBdr>
                                                        <w:top w:val="none" w:sz="0" w:space="0" w:color="auto"/>
                                                        <w:left w:val="none" w:sz="0" w:space="0" w:color="auto"/>
                                                        <w:bottom w:val="none" w:sz="0" w:space="0" w:color="auto"/>
                                                        <w:right w:val="none" w:sz="0" w:space="0" w:color="auto"/>
                                                      </w:divBdr>
                                                      <w:divsChild>
                                                        <w:div w:id="1364869748">
                                                          <w:marLeft w:val="0"/>
                                                          <w:marRight w:val="0"/>
                                                          <w:marTop w:val="0"/>
                                                          <w:marBottom w:val="0"/>
                                                          <w:divBdr>
                                                            <w:top w:val="none" w:sz="0" w:space="0" w:color="auto"/>
                                                            <w:left w:val="none" w:sz="0" w:space="0" w:color="auto"/>
                                                            <w:bottom w:val="none" w:sz="0" w:space="0" w:color="auto"/>
                                                            <w:right w:val="none" w:sz="0" w:space="0" w:color="auto"/>
                                                          </w:divBdr>
                                                          <w:divsChild>
                                                            <w:div w:id="141510803">
                                                              <w:marLeft w:val="0"/>
                                                              <w:marRight w:val="0"/>
                                                              <w:marTop w:val="0"/>
                                                              <w:marBottom w:val="0"/>
                                                              <w:divBdr>
                                                                <w:top w:val="none" w:sz="0" w:space="0" w:color="auto"/>
                                                                <w:left w:val="none" w:sz="0" w:space="0" w:color="auto"/>
                                                                <w:bottom w:val="none" w:sz="0" w:space="0" w:color="auto"/>
                                                                <w:right w:val="none" w:sz="0" w:space="0" w:color="auto"/>
                                                              </w:divBdr>
                                                              <w:divsChild>
                                                                <w:div w:id="3849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2862595">
          <w:marLeft w:val="930"/>
          <w:marRight w:val="0"/>
          <w:marTop w:val="180"/>
          <w:marBottom w:val="0"/>
          <w:divBdr>
            <w:top w:val="none" w:sz="0" w:space="0" w:color="auto"/>
            <w:left w:val="none" w:sz="0" w:space="0" w:color="auto"/>
            <w:bottom w:val="none" w:sz="0" w:space="0" w:color="auto"/>
            <w:right w:val="none" w:sz="0" w:space="0" w:color="auto"/>
          </w:divBdr>
          <w:divsChild>
            <w:div w:id="1202480871">
              <w:marLeft w:val="0"/>
              <w:marRight w:val="0"/>
              <w:marTop w:val="0"/>
              <w:marBottom w:val="0"/>
              <w:divBdr>
                <w:top w:val="none" w:sz="0" w:space="0" w:color="auto"/>
                <w:left w:val="none" w:sz="0" w:space="0" w:color="auto"/>
                <w:bottom w:val="none" w:sz="0" w:space="0" w:color="auto"/>
                <w:right w:val="none" w:sz="0" w:space="0" w:color="auto"/>
              </w:divBdr>
              <w:divsChild>
                <w:div w:id="1615205756">
                  <w:marLeft w:val="0"/>
                  <w:marRight w:val="0"/>
                  <w:marTop w:val="0"/>
                  <w:marBottom w:val="0"/>
                  <w:divBdr>
                    <w:top w:val="none" w:sz="0" w:space="0" w:color="auto"/>
                    <w:left w:val="none" w:sz="0" w:space="0" w:color="auto"/>
                    <w:bottom w:val="none" w:sz="0" w:space="0" w:color="auto"/>
                    <w:right w:val="none" w:sz="0" w:space="0" w:color="auto"/>
                  </w:divBdr>
                  <w:divsChild>
                    <w:div w:id="1313409337">
                      <w:marLeft w:val="0"/>
                      <w:marRight w:val="0"/>
                      <w:marTop w:val="0"/>
                      <w:marBottom w:val="0"/>
                      <w:divBdr>
                        <w:top w:val="none" w:sz="0" w:space="0" w:color="auto"/>
                        <w:left w:val="none" w:sz="0" w:space="0" w:color="auto"/>
                        <w:bottom w:val="none" w:sz="0" w:space="0" w:color="auto"/>
                        <w:right w:val="none" w:sz="0" w:space="0" w:color="auto"/>
                      </w:divBdr>
                      <w:divsChild>
                        <w:div w:id="1032999820">
                          <w:marLeft w:val="0"/>
                          <w:marRight w:val="0"/>
                          <w:marTop w:val="0"/>
                          <w:marBottom w:val="0"/>
                          <w:divBdr>
                            <w:top w:val="none" w:sz="0" w:space="0" w:color="auto"/>
                            <w:left w:val="none" w:sz="0" w:space="0" w:color="auto"/>
                            <w:bottom w:val="none" w:sz="0" w:space="0" w:color="auto"/>
                            <w:right w:val="none" w:sz="0" w:space="0" w:color="auto"/>
                          </w:divBdr>
                          <w:divsChild>
                            <w:div w:id="857735767">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0"/>
                                  <w:marRight w:val="0"/>
                                  <w:marTop w:val="0"/>
                                  <w:marBottom w:val="0"/>
                                  <w:divBdr>
                                    <w:top w:val="none" w:sz="0" w:space="0" w:color="auto"/>
                                    <w:left w:val="none" w:sz="0" w:space="0" w:color="auto"/>
                                    <w:bottom w:val="none" w:sz="0" w:space="0" w:color="auto"/>
                                    <w:right w:val="none" w:sz="0" w:space="0" w:color="auto"/>
                                  </w:divBdr>
                                  <w:divsChild>
                                    <w:div w:id="2142383872">
                                      <w:marLeft w:val="0"/>
                                      <w:marRight w:val="0"/>
                                      <w:marTop w:val="0"/>
                                      <w:marBottom w:val="0"/>
                                      <w:divBdr>
                                        <w:top w:val="none" w:sz="0" w:space="0" w:color="auto"/>
                                        <w:left w:val="none" w:sz="0" w:space="0" w:color="auto"/>
                                        <w:bottom w:val="none" w:sz="0" w:space="0" w:color="auto"/>
                                        <w:right w:val="none" w:sz="0" w:space="0" w:color="auto"/>
                                      </w:divBdr>
                                    </w:div>
                                    <w:div w:id="849637847">
                                      <w:marLeft w:val="0"/>
                                      <w:marRight w:val="0"/>
                                      <w:marTop w:val="0"/>
                                      <w:marBottom w:val="0"/>
                                      <w:divBdr>
                                        <w:top w:val="none" w:sz="0" w:space="0" w:color="auto"/>
                                        <w:left w:val="none" w:sz="0" w:space="0" w:color="auto"/>
                                        <w:bottom w:val="none" w:sz="0" w:space="0" w:color="auto"/>
                                        <w:right w:val="none" w:sz="0" w:space="0" w:color="auto"/>
                                      </w:divBdr>
                                    </w:div>
                                    <w:div w:id="1570770738">
                                      <w:marLeft w:val="0"/>
                                      <w:marRight w:val="0"/>
                                      <w:marTop w:val="0"/>
                                      <w:marBottom w:val="0"/>
                                      <w:divBdr>
                                        <w:top w:val="none" w:sz="0" w:space="0" w:color="auto"/>
                                        <w:left w:val="none" w:sz="0" w:space="0" w:color="auto"/>
                                        <w:bottom w:val="none" w:sz="0" w:space="0" w:color="auto"/>
                                        <w:right w:val="none" w:sz="0" w:space="0" w:color="auto"/>
                                      </w:divBdr>
                                    </w:div>
                                    <w:div w:id="271015152">
                                      <w:marLeft w:val="0"/>
                                      <w:marRight w:val="0"/>
                                      <w:marTop w:val="0"/>
                                      <w:marBottom w:val="0"/>
                                      <w:divBdr>
                                        <w:top w:val="none" w:sz="0" w:space="0" w:color="auto"/>
                                        <w:left w:val="none" w:sz="0" w:space="0" w:color="auto"/>
                                        <w:bottom w:val="none" w:sz="0" w:space="0" w:color="auto"/>
                                        <w:right w:val="none" w:sz="0" w:space="0" w:color="auto"/>
                                      </w:divBdr>
                                    </w:div>
                                    <w:div w:id="2135588762">
                                      <w:marLeft w:val="0"/>
                                      <w:marRight w:val="0"/>
                                      <w:marTop w:val="0"/>
                                      <w:marBottom w:val="0"/>
                                      <w:divBdr>
                                        <w:top w:val="none" w:sz="0" w:space="0" w:color="auto"/>
                                        <w:left w:val="none" w:sz="0" w:space="0" w:color="auto"/>
                                        <w:bottom w:val="none" w:sz="0" w:space="0" w:color="auto"/>
                                        <w:right w:val="none" w:sz="0" w:space="0" w:color="auto"/>
                                      </w:divBdr>
                                    </w:div>
                                    <w:div w:id="1713798591">
                                      <w:marLeft w:val="0"/>
                                      <w:marRight w:val="0"/>
                                      <w:marTop w:val="0"/>
                                      <w:marBottom w:val="0"/>
                                      <w:divBdr>
                                        <w:top w:val="none" w:sz="0" w:space="0" w:color="auto"/>
                                        <w:left w:val="none" w:sz="0" w:space="0" w:color="auto"/>
                                        <w:bottom w:val="none" w:sz="0" w:space="0" w:color="auto"/>
                                        <w:right w:val="none" w:sz="0" w:space="0" w:color="auto"/>
                                      </w:divBdr>
                                    </w:div>
                                    <w:div w:id="841354826">
                                      <w:marLeft w:val="0"/>
                                      <w:marRight w:val="0"/>
                                      <w:marTop w:val="0"/>
                                      <w:marBottom w:val="0"/>
                                      <w:divBdr>
                                        <w:top w:val="none" w:sz="0" w:space="0" w:color="auto"/>
                                        <w:left w:val="none" w:sz="0" w:space="0" w:color="auto"/>
                                        <w:bottom w:val="none" w:sz="0" w:space="0" w:color="auto"/>
                                        <w:right w:val="none" w:sz="0" w:space="0" w:color="auto"/>
                                      </w:divBdr>
                                    </w:div>
                                    <w:div w:id="779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29066">
      <w:bodyDiv w:val="1"/>
      <w:marLeft w:val="0"/>
      <w:marRight w:val="0"/>
      <w:marTop w:val="0"/>
      <w:marBottom w:val="0"/>
      <w:divBdr>
        <w:top w:val="none" w:sz="0" w:space="0" w:color="auto"/>
        <w:left w:val="none" w:sz="0" w:space="0" w:color="auto"/>
        <w:bottom w:val="none" w:sz="0" w:space="0" w:color="auto"/>
        <w:right w:val="none" w:sz="0" w:space="0" w:color="auto"/>
      </w:divBdr>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f.gov.pl/jak-pomaga-rzecznik-finansowy/porad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mailto:porady@dlakonsument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40632-D2F5-4FE6-B853-85D524EB9F1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AC951B9-BF0D-4BF9-A517-3D8B694F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957</Words>
  <Characters>5746</Characters>
  <Application>Microsoft Office Word</Application>
  <DocSecurity>0</DocSecurity>
  <Lines>47</Lines>
  <Paragraphs>13</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3</cp:revision>
  <cp:lastPrinted>2023-09-29T08:41:00Z</cp:lastPrinted>
  <dcterms:created xsi:type="dcterms:W3CDTF">2023-12-07T10:52:00Z</dcterms:created>
  <dcterms:modified xsi:type="dcterms:W3CDTF">2023-12-07T11:46:00Z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646df23e-8c8b-45f0-9abf-3a4445a52e80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