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E89C" w14:textId="0AC3E91C" w:rsidR="00A804EC" w:rsidRDefault="00337F4F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OPŁATY ZA NIEZAMÓW</w:t>
      </w:r>
      <w:r w:rsidR="00B440DC">
        <w:rPr>
          <w:rFonts w:ascii="Trebuchet MS" w:hAnsi="Trebuchet MS"/>
          <w:bCs w:val="0"/>
          <w:sz w:val="32"/>
          <w:szCs w:val="32"/>
          <w:lang w:val="pl-PL"/>
        </w:rPr>
        <w:t>i</w:t>
      </w:r>
      <w:r>
        <w:rPr>
          <w:rFonts w:ascii="Trebuchet MS" w:hAnsi="Trebuchet MS"/>
          <w:bCs w:val="0"/>
          <w:sz w:val="32"/>
          <w:szCs w:val="32"/>
          <w:lang w:val="pl-PL"/>
        </w:rPr>
        <w:t xml:space="preserve">ONE </w:t>
      </w:r>
      <w:r w:rsidR="00B440DC">
        <w:rPr>
          <w:rFonts w:ascii="Trebuchet MS" w:hAnsi="Trebuchet MS"/>
          <w:bCs w:val="0"/>
          <w:sz w:val="32"/>
          <w:szCs w:val="32"/>
          <w:lang w:val="pl-PL"/>
        </w:rPr>
        <w:t>USŁUGI</w:t>
      </w:r>
      <w:r w:rsidR="00A60209">
        <w:rPr>
          <w:rFonts w:ascii="Trebuchet MS" w:hAnsi="Trebuchet MS"/>
          <w:bCs w:val="0"/>
          <w:sz w:val="32"/>
          <w:szCs w:val="32"/>
          <w:lang w:val="pl-PL"/>
        </w:rPr>
        <w:t xml:space="preserve"> – zarzuty prezesa uokik dla upc</w:t>
      </w:r>
    </w:p>
    <w:p w14:paraId="79B31870" w14:textId="73A27C66" w:rsidR="00106F17" w:rsidRPr="00106F17" w:rsidRDefault="00106F17" w:rsidP="00106F1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Prezes UOKiK </w:t>
      </w:r>
      <w:r w:rsidR="00A238E2">
        <w:rPr>
          <w:rStyle w:val="Pogrubienie"/>
          <w:rFonts w:cs="Tahoma"/>
          <w:color w:val="000000"/>
          <w:sz w:val="22"/>
          <w:shd w:val="clear" w:color="auto" w:fill="FFFFFF"/>
        </w:rPr>
        <w:t>postawił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zarzuty</w:t>
      </w:r>
      <w:r w:rsidR="00A238E2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UPC Polska,</w:t>
      </w:r>
      <w:r w:rsidR="004E3BCB">
        <w:rPr>
          <w:rStyle w:val="Pogrubienie"/>
          <w:rFonts w:cs="Tahoma"/>
          <w:color w:val="000000"/>
          <w:sz w:val="22"/>
          <w:shd w:val="clear" w:color="auto" w:fill="FFFFFF"/>
        </w:rPr>
        <w:t xml:space="preserve"> spółce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grozi kara do 10 proc. obrotów. </w:t>
      </w:r>
    </w:p>
    <w:p w14:paraId="7274C70F" w14:textId="42D3DE68" w:rsidR="007C1B69" w:rsidRPr="00703CC4" w:rsidRDefault="00106F17" w:rsidP="00703CC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Klienci UPC </w:t>
      </w:r>
      <w:r w:rsidR="00C3799B">
        <w:rPr>
          <w:rStyle w:val="Pogrubienie"/>
          <w:rFonts w:cs="Tahoma"/>
          <w:color w:val="000000"/>
          <w:sz w:val="22"/>
          <w:shd w:val="clear" w:color="auto" w:fill="FFFFFF"/>
        </w:rPr>
        <w:t>zostali ob</w:t>
      </w:r>
      <w:r w:rsidR="00325438">
        <w:rPr>
          <w:rStyle w:val="Pogrubienie"/>
          <w:rFonts w:cs="Tahoma"/>
          <w:color w:val="000000"/>
          <w:sz w:val="22"/>
          <w:shd w:val="clear" w:color="auto" w:fill="FFFFFF"/>
        </w:rPr>
        <w:t>ciążeni opłatą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 xml:space="preserve"> za dodatkowe kanały </w:t>
      </w:r>
      <w:r w:rsidR="00911D12">
        <w:rPr>
          <w:rStyle w:val="Pogrubienie"/>
          <w:rFonts w:cs="Tahoma"/>
          <w:color w:val="000000"/>
          <w:sz w:val="22"/>
          <w:shd w:val="clear" w:color="auto" w:fill="FFFFFF"/>
        </w:rPr>
        <w:t xml:space="preserve">telewizyjne </w:t>
      </w:r>
      <w:r w:rsidR="009736BB">
        <w:rPr>
          <w:rStyle w:val="Pogrubienie"/>
          <w:rFonts w:cs="Tahoma"/>
          <w:color w:val="000000"/>
          <w:sz w:val="22"/>
          <w:shd w:val="clear" w:color="auto" w:fill="FFFFFF"/>
        </w:rPr>
        <w:t>i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 xml:space="preserve"> wyższą prędkość internetu, choć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tych świadczeń n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 xml:space="preserve">ie zamawiali. </w:t>
      </w:r>
    </w:p>
    <w:p w14:paraId="43713FBD" w14:textId="670E3437" w:rsidR="00804EED" w:rsidRPr="00106F17" w:rsidRDefault="0065572C" w:rsidP="00106F1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Świadczenie nowych usług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powinno 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 xml:space="preserve">odbywać się na wniosek lub za </w:t>
      </w:r>
      <w:r w:rsidR="00502008">
        <w:rPr>
          <w:rStyle w:val="Pogrubienie"/>
          <w:rFonts w:cs="Tahoma"/>
          <w:color w:val="000000"/>
          <w:sz w:val="22"/>
          <w:shd w:val="clear" w:color="auto" w:fill="FFFFFF"/>
        </w:rPr>
        <w:t xml:space="preserve">uprzednią </w:t>
      </w:r>
      <w:r w:rsidR="00447694">
        <w:rPr>
          <w:rStyle w:val="Pogrubienie"/>
          <w:rFonts w:cs="Tahoma"/>
          <w:color w:val="000000"/>
          <w:sz w:val="22"/>
          <w:shd w:val="clear" w:color="auto" w:fill="FFFFFF"/>
        </w:rPr>
        <w:t>zgodą konsumentów.</w:t>
      </w:r>
    </w:p>
    <w:p w14:paraId="6B32184B" w14:textId="5CA7DB52" w:rsidR="000B497C" w:rsidRDefault="00A804EC" w:rsidP="002F39F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0123D0">
        <w:rPr>
          <w:rStyle w:val="Pogrubienie"/>
          <w:rFonts w:cs="Tahoma"/>
          <w:color w:val="000000"/>
          <w:sz w:val="22"/>
          <w:shd w:val="clear" w:color="auto" w:fill="FFFFFF"/>
        </w:rPr>
        <w:t>7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0123D0">
        <w:rPr>
          <w:rStyle w:val="Pogrubienie"/>
          <w:rFonts w:cs="Tahoma"/>
          <w:color w:val="000000"/>
          <w:sz w:val="22"/>
          <w:shd w:val="clear" w:color="auto" w:fill="FFFFFF"/>
        </w:rPr>
        <w:t>sierpnia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5C62B3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A48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ramach programu „Więcej korzyści dla Ciebie” </w:t>
      </w:r>
      <w:r w:rsidR="00B6719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spółka </w:t>
      </w:r>
      <w:r w:rsidR="00BA48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UPC Polska w okresie od 1 lutego 2019 r. do 1 kwietnia ubiegłego roku podwyższała abonament klientom mającym umowy na czas nieoznaczony</w:t>
      </w:r>
      <w:r w:rsidR="00F2398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5C56F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Konsumenci otrzymywali od spółki</w:t>
      </w:r>
      <w:r w:rsidR="002166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46A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wiadomości</w:t>
      </w:r>
      <w:r w:rsidR="005C56F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z </w:t>
      </w:r>
      <w:r w:rsidR="00646A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których </w:t>
      </w:r>
      <w:r w:rsidR="005C56F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dowiadywali się, że będą mieli dostęp do większej liczby kanałów (w tym programów premium) lub szybszy internet. Wiązało się to z wprowadzeniem dodatkowej opłaty od 4 do 8 zł w zależności od posiadanego pakietu. Abonenci mogli całkowicie wypowiedzieć umowę ze spółką, zgłosić rezygnację z tych zmian przed ich wprowadzeniem lub korzystać z oferty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przy czym mieli w dalszym ciągu możliwość 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przez</w:t>
      </w:r>
      <w:r w:rsidR="00A244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C56F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6 miesięcy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zrezygnować z niej </w:t>
      </w:r>
      <w:r w:rsidR="007C08B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 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otrzymać zwrot</w:t>
      </w:r>
      <w:r w:rsidR="000B497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różnicy w abonamencie.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Wszystkie te opcje oznaczały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jednak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że to na konsumentów zostanie przerzucony ciężar braku wyrażenia zgody na nowe usługi, których nie zamawiali. W umowach 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zawieranych z konsumentami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takie działanie jest 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prawnie </w:t>
      </w:r>
      <w:r w:rsidR="00F0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zakazane.</w:t>
      </w:r>
    </w:p>
    <w:p w14:paraId="0E184E3F" w14:textId="0FB3353B" w:rsidR="00B9695F" w:rsidRDefault="00F05380" w:rsidP="002F39F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ocenie Prezesa UOKiK</w:t>
      </w:r>
      <w:r w:rsidR="00B9695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Program „Więcej korzyści dla Ciebie” zakładał świadczenie usług o innych parametrach niż te, które zamówili konsumenci. Były to </w:t>
      </w:r>
      <w:r w:rsidR="009B1A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dla nich</w:t>
      </w:r>
      <w:r w:rsidR="00B9695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produkty nowe, a przedsiębiorca nie uzyskał zgody ani wyraźnego oświadczenia woli klientów w zakresie ich uruchomienia i naliczania dodatkowych opłat.</w:t>
      </w:r>
    </w:p>
    <w:p w14:paraId="111827D3" w14:textId="0DD656D7" w:rsidR="00836A51" w:rsidRDefault="00836A51" w:rsidP="00836A51">
      <w:pPr>
        <w:spacing w:after="240" w:line="360" w:lineRule="auto"/>
        <w:jc w:val="both"/>
        <w:rPr>
          <w:sz w:val="22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- Niedopuszczalne jest pobieranie opłat za niezamówione produkty i usługi</w:t>
      </w:r>
      <w:r w:rsidRPr="00F2398F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bookmarkStart w:id="0" w:name="_GoBack"/>
      <w:bookmarkEnd w:id="0"/>
      <w:r w:rsidRPr="00F2398F">
        <w:rPr>
          <w:rStyle w:val="Pogrubienie"/>
          <w:iCs/>
          <w:color w:val="000000"/>
          <w:sz w:val="22"/>
        </w:rPr>
        <w:t> </w:t>
      </w:r>
      <w:r w:rsidRPr="00F2398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Pamiętajmy, iż włączenie jakichkolwiek </w:t>
      </w:r>
      <w:r w:rsidR="00932AD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świadczeń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 odpłatne dodanie ich do wcześniej zawartej umowy,</w:t>
      </w:r>
      <w:r w:rsidRPr="00F2398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musi się odbyć za wyraźną i świadomą zgodą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konsumentów, a brak odpowiedzi takiej zgody nie stanowi. Spółka UPC Polska narzuciła swoim klientom kształt produktów i ich wyższą cenę, po czym zobligowała ich do podjęcia działań w celu zablokowania zmian, o które nie wnioskowali - </w:t>
      </w:r>
      <w:r>
        <w:rPr>
          <w:sz w:val="22"/>
        </w:rPr>
        <w:t xml:space="preserve">mówi </w:t>
      </w:r>
      <w:r w:rsidRPr="005F2D18">
        <w:rPr>
          <w:sz w:val="22"/>
        </w:rPr>
        <w:t>Prezes UOKiK, Tomasz Chróstny.</w:t>
      </w:r>
    </w:p>
    <w:p w14:paraId="48B09545" w14:textId="1C69E5BF" w:rsidR="007D5F4E" w:rsidRDefault="00F05380" w:rsidP="007D5F4E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sz w:val="22"/>
        </w:rPr>
        <w:lastRenderedPageBreak/>
        <w:t xml:space="preserve">Sytuacji nie zmieniło to, że </w:t>
      </w:r>
      <w:r w:rsidR="00932AD7">
        <w:rPr>
          <w:sz w:val="22"/>
        </w:rPr>
        <w:t xml:space="preserve"> </w:t>
      </w:r>
      <w:r>
        <w:rPr>
          <w:sz w:val="22"/>
        </w:rPr>
        <w:t>UPC Polska umożliwił</w:t>
      </w:r>
      <w:r w:rsidR="00932AD7">
        <w:rPr>
          <w:sz w:val="22"/>
        </w:rPr>
        <w:t xml:space="preserve"> </w:t>
      </w:r>
      <w:r>
        <w:rPr>
          <w:sz w:val="22"/>
        </w:rPr>
        <w:t>klientom bezkosztowe zrezygnowanie z nowych usług w ciągu 6 miesięcy</w:t>
      </w:r>
      <w:r w:rsidR="00836A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Przedsiębiorca nie </w:t>
      </w:r>
      <w:r w:rsidR="007542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powinien </w:t>
      </w:r>
      <w:r w:rsidR="00836A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jednostronnie </w:t>
      </w:r>
      <w:r w:rsidR="0065572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zmieniać zakresu świadczonych usług lub uruchamiać </w:t>
      </w:r>
      <w:r w:rsidR="007C08B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nowych,</w:t>
      </w:r>
      <w:r w:rsidR="0065572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 następnie</w:t>
      </w:r>
      <w:r w:rsidR="007542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wymagać od konsumentów opłacania wyższego abonamentu za niezamówione</w:t>
      </w:r>
      <w:r w:rsidR="000C701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produkty</w:t>
      </w:r>
      <w:r w:rsidR="00932AD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lub wycofania się z nowych warunków</w:t>
      </w:r>
      <w:r w:rsidR="007542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B6719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011C77AB" w14:textId="5343E4AF" w:rsidR="007D5F4E" w:rsidRDefault="0065572C" w:rsidP="007D5F4E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Zgodnie z ustawą o prawach konsumenta (art. 5), s</w:t>
      </w:r>
      <w:r w:rsidRPr="0065572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pełnienie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przez przedsiębiorcę</w:t>
      </w:r>
      <w:r w:rsidRPr="0065572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świadczenia niezamówionego przez konsumenta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takie jak to zaproponowane przez UPC, </w:t>
      </w:r>
      <w:r w:rsidR="00FA6F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następuje</w:t>
      </w:r>
      <w:r w:rsidRPr="0065572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ryzyko przedsiębiorcy i nie nakłada na konsumenta żadnych zobowiązań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A244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7D5F4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Jeśli zarzuty się potwierdzą UPC Polska grozi kara do 10  proc. obrotu.  </w:t>
      </w:r>
    </w:p>
    <w:p w14:paraId="43C675E7" w14:textId="77777777" w:rsidR="005C39DA" w:rsidRPr="007E028F" w:rsidRDefault="005C39DA" w:rsidP="005C39DA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2FA5F0BE" w14:textId="77777777" w:rsidR="005C39DA" w:rsidRPr="00A24495" w:rsidRDefault="005C39DA" w:rsidP="005C39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  <w:lang w:val="pl-PL"/>
        </w:rPr>
      </w:pPr>
      <w:r w:rsidRPr="00A24495">
        <w:rPr>
          <w:rFonts w:ascii="Tahoma" w:hAnsi="Tahoma" w:cs="Tahoma"/>
          <w:sz w:val="18"/>
          <w:szCs w:val="18"/>
          <w:lang w:val="pl-PL"/>
        </w:rPr>
        <w:t xml:space="preserve">Tel. </w:t>
      </w:r>
      <w:bookmarkStart w:id="1" w:name="_Hlk120527957"/>
      <w:r w:rsidRPr="00A24495">
        <w:rPr>
          <w:rFonts w:ascii="Tahoma" w:hAnsi="Tahoma" w:cs="Tahoma"/>
          <w:sz w:val="18"/>
          <w:szCs w:val="18"/>
          <w:lang w:val="pl-PL"/>
        </w:rPr>
        <w:t xml:space="preserve">801 440 220 lub 222 66 76 76 </w:t>
      </w:r>
      <w:bookmarkEnd w:id="1"/>
      <w:r w:rsidRPr="00A24495">
        <w:rPr>
          <w:rFonts w:ascii="Tahoma" w:hAnsi="Tahoma" w:cs="Tahoma"/>
          <w:sz w:val="18"/>
          <w:szCs w:val="18"/>
          <w:lang w:val="pl-PL"/>
        </w:rPr>
        <w:t>– infolinia konsumencka</w:t>
      </w:r>
      <w:r w:rsidRPr="00A24495">
        <w:rPr>
          <w:rFonts w:ascii="Tahoma" w:hAnsi="Tahoma" w:cs="Tahoma"/>
          <w:color w:val="3C4147"/>
          <w:sz w:val="18"/>
          <w:szCs w:val="18"/>
          <w:lang w:val="pl-PL"/>
        </w:rPr>
        <w:br/>
      </w:r>
      <w:r w:rsidRPr="00A24495">
        <w:rPr>
          <w:rFonts w:ascii="Tahoma" w:hAnsi="Tahoma" w:cs="Tahoma"/>
          <w:sz w:val="18"/>
          <w:szCs w:val="18"/>
          <w:lang w:val="pl-PL"/>
        </w:rPr>
        <w:t>E-mail: </w:t>
      </w:r>
      <w:hyperlink r:id="rId9" w:history="1">
        <w:r w:rsidRPr="00A24495">
          <w:rPr>
            <w:rStyle w:val="Hipercze"/>
            <w:rFonts w:ascii="Tahoma" w:hAnsi="Tahoma" w:cs="Tahoma"/>
            <w:sz w:val="18"/>
            <w:szCs w:val="18"/>
            <w:lang w:val="pl-PL"/>
          </w:rPr>
          <w:t>porady@dlakonsumentow.pl</w:t>
        </w:r>
      </w:hyperlink>
      <w:r w:rsidRPr="00A24495">
        <w:rPr>
          <w:rFonts w:ascii="Tahoma" w:hAnsi="Tahoma" w:cs="Tahoma"/>
          <w:color w:val="3C4147"/>
          <w:sz w:val="18"/>
          <w:szCs w:val="18"/>
          <w:lang w:val="pl-PL"/>
        </w:rPr>
        <w:br/>
      </w:r>
      <w:hyperlink r:id="rId10" w:history="1">
        <w:r w:rsidRPr="00A2449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Rzecznicy konsumentów</w:t>
        </w:r>
      </w:hyperlink>
      <w:r w:rsidRPr="00A24495">
        <w:rPr>
          <w:rFonts w:ascii="Tahoma" w:hAnsi="Tahoma" w:cs="Tahoma"/>
          <w:color w:val="3C4147"/>
          <w:sz w:val="18"/>
          <w:szCs w:val="18"/>
          <w:lang w:val="pl-PL"/>
        </w:rPr>
        <w:t xml:space="preserve"> – </w:t>
      </w:r>
      <w:r w:rsidRPr="00A24495">
        <w:rPr>
          <w:rFonts w:ascii="Tahoma" w:hAnsi="Tahoma" w:cs="Tahoma"/>
          <w:sz w:val="18"/>
          <w:szCs w:val="18"/>
          <w:lang w:val="pl-PL"/>
        </w:rPr>
        <w:t>w twoim mieście lub powiecie</w:t>
      </w:r>
    </w:p>
    <w:p w14:paraId="3AF420CC" w14:textId="2CF2946D" w:rsidR="005B2CCE" w:rsidRDefault="005B2CCE" w:rsidP="00A804EC"/>
    <w:p w14:paraId="7134D829" w14:textId="13559070" w:rsidR="00454D87" w:rsidRDefault="00454D87" w:rsidP="00A804EC"/>
    <w:sectPr w:rsidR="00454D87" w:rsidSect="00444043">
      <w:headerReference w:type="default" r:id="rId11"/>
      <w:footerReference w:type="default" r:id="rId12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F0628" w14:textId="77777777" w:rsidR="0096264D" w:rsidRDefault="0096264D">
      <w:r>
        <w:separator/>
      </w:r>
    </w:p>
  </w:endnote>
  <w:endnote w:type="continuationSeparator" w:id="0">
    <w:p w14:paraId="18DE34F2" w14:textId="77777777" w:rsidR="0096264D" w:rsidRDefault="0096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A673" w14:textId="77777777" w:rsidR="0096264D" w:rsidRDefault="0096264D">
      <w:r>
        <w:separator/>
      </w:r>
    </w:p>
  </w:footnote>
  <w:footnote w:type="continuationSeparator" w:id="0">
    <w:p w14:paraId="1ECF4B7C" w14:textId="77777777" w:rsidR="0096264D" w:rsidRDefault="0096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TcwM7AEIkNLEyUdpeDU4uLM/DyQAqNaAMh8r2IsAAAA"/>
  </w:docVars>
  <w:rsids>
    <w:rsidRoot w:val="006439FA"/>
    <w:rsid w:val="00000583"/>
    <w:rsid w:val="00001587"/>
    <w:rsid w:val="00002C19"/>
    <w:rsid w:val="0000713A"/>
    <w:rsid w:val="00007E00"/>
    <w:rsid w:val="00011AF2"/>
    <w:rsid w:val="00012131"/>
    <w:rsid w:val="000123D0"/>
    <w:rsid w:val="00013A64"/>
    <w:rsid w:val="00023634"/>
    <w:rsid w:val="0002523D"/>
    <w:rsid w:val="00042087"/>
    <w:rsid w:val="00042F96"/>
    <w:rsid w:val="00047B8A"/>
    <w:rsid w:val="00050A7B"/>
    <w:rsid w:val="000569D3"/>
    <w:rsid w:val="000651E9"/>
    <w:rsid w:val="00073AA7"/>
    <w:rsid w:val="00082E34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497C"/>
    <w:rsid w:val="000B7247"/>
    <w:rsid w:val="000C20F8"/>
    <w:rsid w:val="000C7011"/>
    <w:rsid w:val="000E4469"/>
    <w:rsid w:val="000E5FC5"/>
    <w:rsid w:val="000F1C64"/>
    <w:rsid w:val="0010559C"/>
    <w:rsid w:val="001065B5"/>
    <w:rsid w:val="00106F17"/>
    <w:rsid w:val="00107844"/>
    <w:rsid w:val="00120FBD"/>
    <w:rsid w:val="0012229A"/>
    <w:rsid w:val="0012424D"/>
    <w:rsid w:val="00127FE1"/>
    <w:rsid w:val="00131146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2FCE"/>
    <w:rsid w:val="00173378"/>
    <w:rsid w:val="001754AB"/>
    <w:rsid w:val="0018507C"/>
    <w:rsid w:val="00190D5A"/>
    <w:rsid w:val="001979B5"/>
    <w:rsid w:val="001A5F7C"/>
    <w:rsid w:val="001A6E5B"/>
    <w:rsid w:val="001A7451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3A94"/>
    <w:rsid w:val="00205580"/>
    <w:rsid w:val="00214084"/>
    <w:rsid w:val="00215135"/>
    <w:rsid w:val="002157BB"/>
    <w:rsid w:val="00216656"/>
    <w:rsid w:val="0022540B"/>
    <w:rsid w:val="002262B5"/>
    <w:rsid w:val="00227171"/>
    <w:rsid w:val="0023138D"/>
    <w:rsid w:val="00233CFA"/>
    <w:rsid w:val="00240013"/>
    <w:rsid w:val="0024118E"/>
    <w:rsid w:val="00241BAC"/>
    <w:rsid w:val="00242DF1"/>
    <w:rsid w:val="00251281"/>
    <w:rsid w:val="00253AE7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5B34"/>
    <w:rsid w:val="00296D54"/>
    <w:rsid w:val="002A2D13"/>
    <w:rsid w:val="002A5D69"/>
    <w:rsid w:val="002B121C"/>
    <w:rsid w:val="002B1D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39FD"/>
    <w:rsid w:val="002F4D43"/>
    <w:rsid w:val="002F5450"/>
    <w:rsid w:val="002F5DDB"/>
    <w:rsid w:val="003056C6"/>
    <w:rsid w:val="003060E1"/>
    <w:rsid w:val="00311B14"/>
    <w:rsid w:val="0031276A"/>
    <w:rsid w:val="00314E90"/>
    <w:rsid w:val="0032000E"/>
    <w:rsid w:val="00324306"/>
    <w:rsid w:val="00325438"/>
    <w:rsid w:val="003278D6"/>
    <w:rsid w:val="003303F0"/>
    <w:rsid w:val="00330B05"/>
    <w:rsid w:val="00337F4F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6F5B"/>
    <w:rsid w:val="003C4B64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47694"/>
    <w:rsid w:val="0045026F"/>
    <w:rsid w:val="004545B6"/>
    <w:rsid w:val="00454D87"/>
    <w:rsid w:val="00455370"/>
    <w:rsid w:val="00462CFA"/>
    <w:rsid w:val="00464A74"/>
    <w:rsid w:val="00467587"/>
    <w:rsid w:val="0047034E"/>
    <w:rsid w:val="0047139D"/>
    <w:rsid w:val="00474202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E3BCB"/>
    <w:rsid w:val="004F0142"/>
    <w:rsid w:val="004F2D0D"/>
    <w:rsid w:val="004F3AB4"/>
    <w:rsid w:val="004F3EAE"/>
    <w:rsid w:val="004F7029"/>
    <w:rsid w:val="004F7E99"/>
    <w:rsid w:val="005003F9"/>
    <w:rsid w:val="0050051A"/>
    <w:rsid w:val="00502008"/>
    <w:rsid w:val="0050417B"/>
    <w:rsid w:val="00510D3F"/>
    <w:rsid w:val="005118B4"/>
    <w:rsid w:val="005133CE"/>
    <w:rsid w:val="005146B0"/>
    <w:rsid w:val="005202FE"/>
    <w:rsid w:val="00521BA3"/>
    <w:rsid w:val="00523E0D"/>
    <w:rsid w:val="00525588"/>
    <w:rsid w:val="0052710E"/>
    <w:rsid w:val="0053340F"/>
    <w:rsid w:val="00537447"/>
    <w:rsid w:val="005429D2"/>
    <w:rsid w:val="005442FC"/>
    <w:rsid w:val="0054651C"/>
    <w:rsid w:val="00551CE8"/>
    <w:rsid w:val="00552399"/>
    <w:rsid w:val="0055631A"/>
    <w:rsid w:val="0055631D"/>
    <w:rsid w:val="00565753"/>
    <w:rsid w:val="00576A7A"/>
    <w:rsid w:val="00585135"/>
    <w:rsid w:val="00585735"/>
    <w:rsid w:val="00587884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39DA"/>
    <w:rsid w:val="005C56FB"/>
    <w:rsid w:val="005C6232"/>
    <w:rsid w:val="005C62B3"/>
    <w:rsid w:val="005D5A33"/>
    <w:rsid w:val="005D6F7A"/>
    <w:rsid w:val="005E5B88"/>
    <w:rsid w:val="005E78EE"/>
    <w:rsid w:val="005F139F"/>
    <w:rsid w:val="005F18F0"/>
    <w:rsid w:val="005F1EBD"/>
    <w:rsid w:val="00600EC3"/>
    <w:rsid w:val="006063D0"/>
    <w:rsid w:val="00607083"/>
    <w:rsid w:val="00613C45"/>
    <w:rsid w:val="00626CB8"/>
    <w:rsid w:val="00633D4E"/>
    <w:rsid w:val="0063526F"/>
    <w:rsid w:val="006360CA"/>
    <w:rsid w:val="0063655C"/>
    <w:rsid w:val="00637E86"/>
    <w:rsid w:val="006422DE"/>
    <w:rsid w:val="006436E3"/>
    <w:rsid w:val="006439FA"/>
    <w:rsid w:val="00646A73"/>
    <w:rsid w:val="006503C1"/>
    <w:rsid w:val="00651074"/>
    <w:rsid w:val="00653A61"/>
    <w:rsid w:val="00654BF5"/>
    <w:rsid w:val="0065572C"/>
    <w:rsid w:val="00662CFD"/>
    <w:rsid w:val="00663285"/>
    <w:rsid w:val="0067485D"/>
    <w:rsid w:val="0068209D"/>
    <w:rsid w:val="006853ED"/>
    <w:rsid w:val="006925E2"/>
    <w:rsid w:val="00696062"/>
    <w:rsid w:val="006A2065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67AF"/>
    <w:rsid w:val="006D3DC5"/>
    <w:rsid w:val="006D49C2"/>
    <w:rsid w:val="006D7CDA"/>
    <w:rsid w:val="006E5778"/>
    <w:rsid w:val="006E7762"/>
    <w:rsid w:val="006F143B"/>
    <w:rsid w:val="006F185A"/>
    <w:rsid w:val="007012F9"/>
    <w:rsid w:val="00703241"/>
    <w:rsid w:val="007039E2"/>
    <w:rsid w:val="007039EC"/>
    <w:rsid w:val="00703CC4"/>
    <w:rsid w:val="007042BD"/>
    <w:rsid w:val="0071572D"/>
    <w:rsid w:val="007157BA"/>
    <w:rsid w:val="007169F9"/>
    <w:rsid w:val="007174A6"/>
    <w:rsid w:val="007224B3"/>
    <w:rsid w:val="00726B03"/>
    <w:rsid w:val="00731303"/>
    <w:rsid w:val="0073271B"/>
    <w:rsid w:val="007350D1"/>
    <w:rsid w:val="00735F01"/>
    <w:rsid w:val="007402E0"/>
    <w:rsid w:val="00743796"/>
    <w:rsid w:val="0074489D"/>
    <w:rsid w:val="00746549"/>
    <w:rsid w:val="007513E4"/>
    <w:rsid w:val="007514AD"/>
    <w:rsid w:val="0075352C"/>
    <w:rsid w:val="00753A06"/>
    <w:rsid w:val="0075425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57B1"/>
    <w:rsid w:val="00791A37"/>
    <w:rsid w:val="00794EFA"/>
    <w:rsid w:val="0079727E"/>
    <w:rsid w:val="007A14EE"/>
    <w:rsid w:val="007A19D8"/>
    <w:rsid w:val="007A73E9"/>
    <w:rsid w:val="007C0877"/>
    <w:rsid w:val="007C08B5"/>
    <w:rsid w:val="007C1B69"/>
    <w:rsid w:val="007C3264"/>
    <w:rsid w:val="007C7AB3"/>
    <w:rsid w:val="007D5F4E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0FAE"/>
    <w:rsid w:val="00804024"/>
    <w:rsid w:val="00804EED"/>
    <w:rsid w:val="00814BF8"/>
    <w:rsid w:val="0081753E"/>
    <w:rsid w:val="00820299"/>
    <w:rsid w:val="00836A51"/>
    <w:rsid w:val="008419BA"/>
    <w:rsid w:val="0085010E"/>
    <w:rsid w:val="0085454F"/>
    <w:rsid w:val="00861CE4"/>
    <w:rsid w:val="00861FF4"/>
    <w:rsid w:val="008731EB"/>
    <w:rsid w:val="0087354F"/>
    <w:rsid w:val="00873645"/>
    <w:rsid w:val="00877E08"/>
    <w:rsid w:val="00883C62"/>
    <w:rsid w:val="008848D1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19C6"/>
    <w:rsid w:val="008C53D0"/>
    <w:rsid w:val="008C6ACC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1D12"/>
    <w:rsid w:val="00914181"/>
    <w:rsid w:val="00924ABC"/>
    <w:rsid w:val="00932AD7"/>
    <w:rsid w:val="00932D9D"/>
    <w:rsid w:val="00936679"/>
    <w:rsid w:val="009369FA"/>
    <w:rsid w:val="0093717D"/>
    <w:rsid w:val="00940E8F"/>
    <w:rsid w:val="009412D8"/>
    <w:rsid w:val="00941AFA"/>
    <w:rsid w:val="00944068"/>
    <w:rsid w:val="009465F1"/>
    <w:rsid w:val="00950FE7"/>
    <w:rsid w:val="0095309C"/>
    <w:rsid w:val="0096249E"/>
    <w:rsid w:val="0096264D"/>
    <w:rsid w:val="009629A6"/>
    <w:rsid w:val="009652F2"/>
    <w:rsid w:val="009719ED"/>
    <w:rsid w:val="009736BB"/>
    <w:rsid w:val="00975E11"/>
    <w:rsid w:val="00986C37"/>
    <w:rsid w:val="009907A2"/>
    <w:rsid w:val="00996BD4"/>
    <w:rsid w:val="00997528"/>
    <w:rsid w:val="0099796A"/>
    <w:rsid w:val="009A5840"/>
    <w:rsid w:val="009B0EAF"/>
    <w:rsid w:val="009B1A44"/>
    <w:rsid w:val="009B4293"/>
    <w:rsid w:val="009B6BAF"/>
    <w:rsid w:val="009C0036"/>
    <w:rsid w:val="009C1346"/>
    <w:rsid w:val="009C4DBF"/>
    <w:rsid w:val="009C553B"/>
    <w:rsid w:val="009D05C8"/>
    <w:rsid w:val="009E3BBB"/>
    <w:rsid w:val="009E3C0B"/>
    <w:rsid w:val="009F3C8D"/>
    <w:rsid w:val="009F3F04"/>
    <w:rsid w:val="009F68CA"/>
    <w:rsid w:val="00A11FB9"/>
    <w:rsid w:val="00A126FF"/>
    <w:rsid w:val="00A13244"/>
    <w:rsid w:val="00A16B17"/>
    <w:rsid w:val="00A238E2"/>
    <w:rsid w:val="00A239AA"/>
    <w:rsid w:val="00A24495"/>
    <w:rsid w:val="00A375CB"/>
    <w:rsid w:val="00A439E8"/>
    <w:rsid w:val="00A45753"/>
    <w:rsid w:val="00A53423"/>
    <w:rsid w:val="00A56131"/>
    <w:rsid w:val="00A60209"/>
    <w:rsid w:val="00A62659"/>
    <w:rsid w:val="00A65F20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DA0"/>
    <w:rsid w:val="00A871DF"/>
    <w:rsid w:val="00A92C4C"/>
    <w:rsid w:val="00A96763"/>
    <w:rsid w:val="00A9760F"/>
    <w:rsid w:val="00AA04C9"/>
    <w:rsid w:val="00AA3B1F"/>
    <w:rsid w:val="00AA602D"/>
    <w:rsid w:val="00AB0DF3"/>
    <w:rsid w:val="00AB3D91"/>
    <w:rsid w:val="00AB572D"/>
    <w:rsid w:val="00AC1CC1"/>
    <w:rsid w:val="00AC26EC"/>
    <w:rsid w:val="00AC29DC"/>
    <w:rsid w:val="00AC4F69"/>
    <w:rsid w:val="00AE2923"/>
    <w:rsid w:val="00AE7F9D"/>
    <w:rsid w:val="00AF1794"/>
    <w:rsid w:val="00AF44D7"/>
    <w:rsid w:val="00AF5130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440DC"/>
    <w:rsid w:val="00B51024"/>
    <w:rsid w:val="00B512B5"/>
    <w:rsid w:val="00B568BB"/>
    <w:rsid w:val="00B60CD8"/>
    <w:rsid w:val="00B60F9C"/>
    <w:rsid w:val="00B65AAC"/>
    <w:rsid w:val="00B67194"/>
    <w:rsid w:val="00B6769E"/>
    <w:rsid w:val="00B70713"/>
    <w:rsid w:val="00B7121B"/>
    <w:rsid w:val="00B73F22"/>
    <w:rsid w:val="00B76F9A"/>
    <w:rsid w:val="00B774D3"/>
    <w:rsid w:val="00B810B2"/>
    <w:rsid w:val="00B92670"/>
    <w:rsid w:val="00B9695F"/>
    <w:rsid w:val="00BA26F7"/>
    <w:rsid w:val="00BA48B2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000F"/>
    <w:rsid w:val="00BE2623"/>
    <w:rsid w:val="00BE3923"/>
    <w:rsid w:val="00BE4BF0"/>
    <w:rsid w:val="00BE5EE5"/>
    <w:rsid w:val="00BE61F8"/>
    <w:rsid w:val="00BE68EE"/>
    <w:rsid w:val="00BE77C6"/>
    <w:rsid w:val="00BE7F63"/>
    <w:rsid w:val="00BF1D51"/>
    <w:rsid w:val="00BF45FB"/>
    <w:rsid w:val="00BF54F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3799B"/>
    <w:rsid w:val="00C5259C"/>
    <w:rsid w:val="00C547DF"/>
    <w:rsid w:val="00C63AA8"/>
    <w:rsid w:val="00C7783C"/>
    <w:rsid w:val="00C81210"/>
    <w:rsid w:val="00C8184F"/>
    <w:rsid w:val="00C90F71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D34F0"/>
    <w:rsid w:val="00CE0954"/>
    <w:rsid w:val="00CE5CED"/>
    <w:rsid w:val="00CE6CD4"/>
    <w:rsid w:val="00CE7998"/>
    <w:rsid w:val="00CF11F7"/>
    <w:rsid w:val="00CF1220"/>
    <w:rsid w:val="00CF3281"/>
    <w:rsid w:val="00D020DF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119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962BB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C779C"/>
    <w:rsid w:val="00DD007E"/>
    <w:rsid w:val="00DD06C3"/>
    <w:rsid w:val="00DD34A3"/>
    <w:rsid w:val="00DD3F1F"/>
    <w:rsid w:val="00DD6056"/>
    <w:rsid w:val="00DE657E"/>
    <w:rsid w:val="00DE78F8"/>
    <w:rsid w:val="00DE7C6A"/>
    <w:rsid w:val="00DF2857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22AD"/>
    <w:rsid w:val="00E54670"/>
    <w:rsid w:val="00E56E91"/>
    <w:rsid w:val="00E64103"/>
    <w:rsid w:val="00E76CD1"/>
    <w:rsid w:val="00E80EED"/>
    <w:rsid w:val="00E9149E"/>
    <w:rsid w:val="00EA090B"/>
    <w:rsid w:val="00EA1836"/>
    <w:rsid w:val="00EA4D0D"/>
    <w:rsid w:val="00EC017D"/>
    <w:rsid w:val="00EC0263"/>
    <w:rsid w:val="00EC4C16"/>
    <w:rsid w:val="00ED3CF4"/>
    <w:rsid w:val="00ED59FB"/>
    <w:rsid w:val="00ED6F4B"/>
    <w:rsid w:val="00EE0554"/>
    <w:rsid w:val="00EE4AD8"/>
    <w:rsid w:val="00EE789A"/>
    <w:rsid w:val="00EF730D"/>
    <w:rsid w:val="00F05380"/>
    <w:rsid w:val="00F10458"/>
    <w:rsid w:val="00F119B5"/>
    <w:rsid w:val="00F12E58"/>
    <w:rsid w:val="00F139AC"/>
    <w:rsid w:val="00F16000"/>
    <w:rsid w:val="00F1768D"/>
    <w:rsid w:val="00F20759"/>
    <w:rsid w:val="00F21EAC"/>
    <w:rsid w:val="00F2398F"/>
    <w:rsid w:val="00F251F1"/>
    <w:rsid w:val="00F3044B"/>
    <w:rsid w:val="00F3243D"/>
    <w:rsid w:val="00F36E4D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82DE3"/>
    <w:rsid w:val="00F8406E"/>
    <w:rsid w:val="00F90158"/>
    <w:rsid w:val="00F92AD4"/>
    <w:rsid w:val="00F92B59"/>
    <w:rsid w:val="00F931B3"/>
    <w:rsid w:val="00F948BC"/>
    <w:rsid w:val="00F94B48"/>
    <w:rsid w:val="00F953FA"/>
    <w:rsid w:val="00F960CF"/>
    <w:rsid w:val="00FA10A3"/>
    <w:rsid w:val="00FA1226"/>
    <w:rsid w:val="00FA4E50"/>
    <w:rsid w:val="00FA6FF0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5699-FC11-41E7-9AB3-43BCCF0E28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28C32B-5EF5-41F9-8BB4-F53CD594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6</cp:revision>
  <cp:lastPrinted>2023-07-17T13:27:00Z</cp:lastPrinted>
  <dcterms:created xsi:type="dcterms:W3CDTF">2023-07-19T08:55:00Z</dcterms:created>
  <dcterms:modified xsi:type="dcterms:W3CDTF">2023-08-07T07:12:00Z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6d9563a2-77fe-4099-8b84-d60196c67dde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