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0AE9D0D2" w:rsidR="00CF49E6" w:rsidRPr="000B37B8" w:rsidRDefault="000B37B8" w:rsidP="005F6A99">
      <w:pPr>
        <w:spacing w:after="240" w:line="276" w:lineRule="auto"/>
        <w:jc w:val="both"/>
        <w:rPr>
          <w:rFonts w:cs="Arial"/>
          <w:color w:val="000000"/>
          <w:shd w:val="clear" w:color="auto" w:fill="FFFFFF"/>
        </w:rPr>
      </w:pPr>
      <w:bookmarkStart w:id="0" w:name="_Hlk156394653"/>
      <w:bookmarkStart w:id="1" w:name="_Hlk202524021"/>
      <w:r>
        <w:rPr>
          <w:color w:val="000000" w:themeColor="text1"/>
          <w:sz w:val="32"/>
          <w:szCs w:val="32"/>
        </w:rPr>
        <w:t>N</w:t>
      </w:r>
      <w:r w:rsidRPr="00177780">
        <w:rPr>
          <w:color w:val="000000" w:themeColor="text1"/>
          <w:sz w:val="32"/>
          <w:szCs w:val="32"/>
        </w:rPr>
        <w:t>iedozwolone zmiany w umowie</w:t>
      </w:r>
      <w:r>
        <w:rPr>
          <w:color w:val="000000" w:themeColor="text1"/>
          <w:sz w:val="32"/>
          <w:szCs w:val="32"/>
        </w:rPr>
        <w:t xml:space="preserve"> -</w:t>
      </w:r>
      <w:r w:rsidRPr="00177780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z</w:t>
      </w:r>
      <w:r w:rsidRPr="00177780">
        <w:rPr>
          <w:color w:val="000000" w:themeColor="text1"/>
          <w:sz w:val="32"/>
          <w:szCs w:val="32"/>
        </w:rPr>
        <w:t>wrot</w:t>
      </w:r>
      <w:r>
        <w:rPr>
          <w:color w:val="000000" w:themeColor="text1"/>
          <w:sz w:val="32"/>
          <w:szCs w:val="32"/>
        </w:rPr>
        <w:t>y</w:t>
      </w:r>
      <w:r w:rsidRPr="00177780">
        <w:rPr>
          <w:color w:val="000000" w:themeColor="text1"/>
          <w:sz w:val="32"/>
          <w:szCs w:val="32"/>
        </w:rPr>
        <w:t xml:space="preserve"> i rekompensat</w:t>
      </w:r>
      <w:r>
        <w:rPr>
          <w:color w:val="000000" w:themeColor="text1"/>
          <w:sz w:val="32"/>
          <w:szCs w:val="32"/>
        </w:rPr>
        <w:t>y</w:t>
      </w:r>
      <w:r w:rsidRPr="00177780">
        <w:rPr>
          <w:color w:val="000000" w:themeColor="text1"/>
          <w:sz w:val="32"/>
          <w:szCs w:val="32"/>
        </w:rPr>
        <w:t xml:space="preserve"> od PayPal</w:t>
      </w:r>
    </w:p>
    <w:p w14:paraId="75061F07" w14:textId="3B684B2D" w:rsidR="006A1939" w:rsidRDefault="00D32B2E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wydał </w:t>
      </w:r>
      <w:r w:rsidR="00481053">
        <w:rPr>
          <w:rFonts w:cs="Tahoma"/>
          <w:b/>
          <w:bCs/>
          <w:color w:val="000000" w:themeColor="text1"/>
          <w:sz w:val="22"/>
          <w:lang w:eastAsia="en-GB"/>
        </w:rPr>
        <w:t xml:space="preserve">dwie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decyzje zobowiązujące wobec </w:t>
      </w:r>
      <w:r w:rsidR="00011E69">
        <w:rPr>
          <w:rFonts w:cs="Tahoma"/>
          <w:b/>
          <w:bCs/>
          <w:color w:val="000000" w:themeColor="text1"/>
          <w:sz w:val="22"/>
          <w:lang w:eastAsia="en-GB"/>
        </w:rPr>
        <w:t>Pa</w:t>
      </w:r>
      <w:r w:rsidR="00F1783B">
        <w:rPr>
          <w:rFonts w:cs="Tahoma"/>
          <w:b/>
          <w:bCs/>
          <w:color w:val="000000" w:themeColor="text1"/>
          <w:sz w:val="22"/>
          <w:lang w:eastAsia="en-GB"/>
        </w:rPr>
        <w:t>yPal</w:t>
      </w:r>
      <w:r w:rsidR="0047596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A359C88" w14:textId="45C41F22" w:rsidR="0047596E" w:rsidRPr="000B37B8" w:rsidRDefault="0047596E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B37B8">
        <w:rPr>
          <w:rFonts w:cs="Tahoma"/>
          <w:b/>
          <w:bCs/>
          <w:color w:val="000000" w:themeColor="text1"/>
          <w:sz w:val="22"/>
          <w:lang w:eastAsia="en-GB"/>
        </w:rPr>
        <w:t>Kwestionowane praktyki dotyczyły</w:t>
      </w:r>
      <w:r w:rsidR="00DF2C72"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 dokonywania zmian</w:t>
      </w:r>
      <w:r w:rsidR="00B2063A"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2337C">
        <w:rPr>
          <w:rFonts w:cs="Tahoma"/>
          <w:b/>
          <w:bCs/>
          <w:color w:val="000000" w:themeColor="text1"/>
          <w:sz w:val="22"/>
          <w:lang w:eastAsia="en-GB"/>
        </w:rPr>
        <w:t xml:space="preserve">w umowie </w:t>
      </w:r>
      <w:r w:rsidR="000B37B8" w:rsidRPr="000B37B8">
        <w:rPr>
          <w:rFonts w:cs="Tahoma"/>
          <w:b/>
          <w:bCs/>
          <w:color w:val="000000" w:themeColor="text1"/>
          <w:sz w:val="22"/>
          <w:lang w:eastAsia="en-GB"/>
        </w:rPr>
        <w:t>na podstawie nieuczciwej</w:t>
      </w:r>
      <w:r w:rsidR="00BD1D65"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 klauzul</w:t>
      </w:r>
      <w:r w:rsidR="00DF2C72" w:rsidRPr="000B37B8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BD1D65"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F2C72" w:rsidRPr="000B37B8">
        <w:rPr>
          <w:rFonts w:cs="Tahoma"/>
          <w:b/>
          <w:bCs/>
          <w:color w:val="000000" w:themeColor="text1"/>
          <w:sz w:val="22"/>
          <w:lang w:eastAsia="en-GB"/>
        </w:rPr>
        <w:t>modyfikacyjnej</w:t>
      </w:r>
      <w:r w:rsidR="000B37B8"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 i nieprawidłowej formy informowania o zmianach opłat</w:t>
      </w:r>
      <w:r w:rsidR="00BD1D65" w:rsidRPr="000B37B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E03F066" w14:textId="648924EF" w:rsidR="0047596E" w:rsidRPr="000B37B8" w:rsidRDefault="0047596E" w:rsidP="000B37B8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B37B8">
        <w:rPr>
          <w:rFonts w:cs="Tahoma"/>
          <w:b/>
          <w:bCs/>
          <w:color w:val="000000" w:themeColor="text1"/>
          <w:sz w:val="22"/>
          <w:lang w:eastAsia="en-GB"/>
        </w:rPr>
        <w:t>Spółk</w:t>
      </w:r>
      <w:r w:rsidR="00323394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B37B8" w:rsidRPr="000B37B8">
        <w:rPr>
          <w:rFonts w:cs="Tahoma"/>
          <w:b/>
          <w:bCs/>
          <w:color w:val="000000" w:themeColor="text1"/>
          <w:sz w:val="22"/>
          <w:lang w:eastAsia="en-GB"/>
        </w:rPr>
        <w:t xml:space="preserve">zobowiązała się do </w:t>
      </w:r>
      <w:r w:rsidR="003B02F3">
        <w:rPr>
          <w:rFonts w:cs="Tahoma"/>
          <w:b/>
          <w:bCs/>
          <w:color w:val="000000" w:themeColor="text1"/>
          <w:sz w:val="22"/>
          <w:lang w:eastAsia="en-GB"/>
        </w:rPr>
        <w:t xml:space="preserve">ich </w:t>
      </w:r>
      <w:r w:rsidR="000B37B8" w:rsidRPr="000B37B8">
        <w:rPr>
          <w:rFonts w:cs="Arial"/>
          <w:b/>
          <w:color w:val="000000"/>
          <w:sz w:val="22"/>
          <w:shd w:val="clear" w:color="auto" w:fill="FFFFFF"/>
        </w:rPr>
        <w:t xml:space="preserve">zaprzestania </w:t>
      </w:r>
      <w:r w:rsidR="0092337C">
        <w:rPr>
          <w:rFonts w:cs="Arial"/>
          <w:b/>
          <w:color w:val="000000"/>
          <w:sz w:val="22"/>
          <w:shd w:val="clear" w:color="auto" w:fill="FFFFFF"/>
        </w:rPr>
        <w:t>oraz</w:t>
      </w:r>
      <w:r w:rsidR="000B37B8" w:rsidRPr="000B37B8">
        <w:rPr>
          <w:rFonts w:cs="Arial"/>
          <w:b/>
          <w:color w:val="000000"/>
          <w:sz w:val="22"/>
          <w:shd w:val="clear" w:color="auto" w:fill="FFFFFF"/>
        </w:rPr>
        <w:t xml:space="preserve"> zwrotu opłat związanych z ich stosowaniem wraz z rekompensatą</w:t>
      </w:r>
      <w:r w:rsidRPr="000B37B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50EE0A92" w14:textId="3864825D" w:rsidR="00360604" w:rsidRDefault="00360604" w:rsidP="00360604">
      <w:pPr>
        <w:spacing w:after="240" w:line="360" w:lineRule="auto"/>
        <w:jc w:val="both"/>
        <w:rPr>
          <w:rFonts w:cs="Tahoma"/>
          <w:color w:val="3C4147"/>
          <w:sz w:val="22"/>
          <w:shd w:val="clear" w:color="auto" w:fill="FFFFFF"/>
        </w:rPr>
      </w:pPr>
      <w:r w:rsidRPr="00360604">
        <w:rPr>
          <w:b/>
          <w:color w:val="000000" w:themeColor="text1"/>
          <w:sz w:val="22"/>
        </w:rPr>
        <w:t xml:space="preserve">[Warszawa, </w:t>
      </w:r>
      <w:r w:rsidRPr="0092337C">
        <w:rPr>
          <w:b/>
          <w:color w:val="000000" w:themeColor="text1"/>
          <w:sz w:val="22"/>
        </w:rPr>
        <w:t>9</w:t>
      </w:r>
      <w:r w:rsidRPr="00360604">
        <w:rPr>
          <w:b/>
          <w:color w:val="000000" w:themeColor="text1"/>
          <w:sz w:val="22"/>
        </w:rPr>
        <w:t xml:space="preserve"> lipca 2025 r.]</w:t>
      </w:r>
      <w:r w:rsidRPr="00360604">
        <w:rPr>
          <w:color w:val="000000" w:themeColor="text1"/>
          <w:sz w:val="22"/>
        </w:rPr>
        <w:t xml:space="preserve"> </w:t>
      </w:r>
      <w:r w:rsidRPr="00360604">
        <w:rPr>
          <w:rFonts w:cs="Arial"/>
          <w:color w:val="000000"/>
          <w:sz w:val="22"/>
          <w:shd w:val="clear" w:color="auto" w:fill="FFFFFF"/>
        </w:rPr>
        <w:t>PayPal to jeden z największych i najdłużej działających serwisów umożliwiających dokonywanie internetowych płatności. Konto PayPal j</w:t>
      </w:r>
      <w:r w:rsidRPr="00360604">
        <w:rPr>
          <w:rFonts w:cs="Arial"/>
          <w:sz w:val="22"/>
          <w:shd w:val="clear" w:color="auto" w:fill="FFFFFF"/>
        </w:rPr>
        <w:t xml:space="preserve">est </w:t>
      </w:r>
      <w:r w:rsidRPr="00360604">
        <w:rPr>
          <w:rFonts w:cs="Tahoma"/>
          <w:sz w:val="22"/>
          <w:shd w:val="clear" w:color="auto" w:fill="FFFFFF"/>
        </w:rPr>
        <w:t>rodzajem elektronicznego portfela zintegrowanego z rachunkiem bankowym, do którego można przypisać kartę płatniczą</w:t>
      </w:r>
      <w:r w:rsidRPr="00360604">
        <w:rPr>
          <w:rFonts w:cs="Tahoma"/>
          <w:color w:val="3C4147"/>
          <w:sz w:val="22"/>
          <w:shd w:val="clear" w:color="auto" w:fill="FFFFFF"/>
        </w:rPr>
        <w:t>.</w:t>
      </w:r>
      <w:r>
        <w:rPr>
          <w:rFonts w:cs="Tahoma"/>
          <w:color w:val="3C4147"/>
          <w:sz w:val="22"/>
          <w:shd w:val="clear" w:color="auto" w:fill="FFFFFF"/>
        </w:rPr>
        <w:t xml:space="preserve"> </w:t>
      </w:r>
      <w:r w:rsidR="00C417D3">
        <w:rPr>
          <w:rFonts w:cs="Tahoma"/>
          <w:color w:val="3C4147"/>
          <w:sz w:val="22"/>
          <w:shd w:val="clear" w:color="auto" w:fill="FFFFFF"/>
        </w:rPr>
        <w:t xml:space="preserve">W toku prowadzonych postępowań ustalono, że </w:t>
      </w:r>
      <w:r w:rsidR="00EA1D0A" w:rsidRPr="005F6A99">
        <w:rPr>
          <w:rFonts w:cs="Tahoma"/>
          <w:sz w:val="22"/>
          <w:shd w:val="clear" w:color="auto" w:fill="FFFFFF"/>
        </w:rPr>
        <w:t xml:space="preserve">spółka PayPal Europe </w:t>
      </w:r>
      <w:r w:rsidR="00C417D3">
        <w:rPr>
          <w:rFonts w:cs="Tahoma"/>
          <w:sz w:val="22"/>
          <w:shd w:val="clear" w:color="auto" w:fill="FFFFFF"/>
        </w:rPr>
        <w:t>w umowach</w:t>
      </w:r>
      <w:r w:rsidR="00EA1D0A" w:rsidRPr="005F6A99">
        <w:rPr>
          <w:rFonts w:cs="Tahoma"/>
          <w:sz w:val="22"/>
          <w:shd w:val="clear" w:color="auto" w:fill="FFFFFF"/>
        </w:rPr>
        <w:t xml:space="preserve"> z polskimi użytkownikami serwisu </w:t>
      </w:r>
      <w:r w:rsidR="001E52BE">
        <w:rPr>
          <w:rFonts w:cs="Tahoma"/>
          <w:sz w:val="22"/>
          <w:shd w:val="clear" w:color="auto" w:fill="FFFFFF"/>
        </w:rPr>
        <w:t xml:space="preserve">stosowała </w:t>
      </w:r>
      <w:r w:rsidR="00EA1D0A" w:rsidRPr="005F6A99">
        <w:rPr>
          <w:rFonts w:cs="Tahoma"/>
          <w:sz w:val="22"/>
          <w:shd w:val="clear" w:color="auto" w:fill="FFFFFF"/>
        </w:rPr>
        <w:t xml:space="preserve">klauzulę modyfikacyjną, na podstawie której </w:t>
      </w:r>
      <w:r w:rsidR="00AB1225">
        <w:rPr>
          <w:rFonts w:cs="Tahoma"/>
          <w:sz w:val="22"/>
          <w:shd w:val="clear" w:color="auto" w:fill="FFFFFF"/>
        </w:rPr>
        <w:t>wprowadziła jednostronnie nowe opłaty i podwyżki dotychczasowych</w:t>
      </w:r>
      <w:r w:rsidR="00EA1D0A" w:rsidRPr="005F6A99">
        <w:rPr>
          <w:rFonts w:cs="Tahoma"/>
          <w:sz w:val="22"/>
          <w:shd w:val="clear" w:color="auto" w:fill="FFFFFF"/>
        </w:rPr>
        <w:t>.</w:t>
      </w:r>
      <w:r w:rsidR="00E1007E">
        <w:rPr>
          <w:rFonts w:cs="Tahoma"/>
          <w:sz w:val="22"/>
          <w:shd w:val="clear" w:color="auto" w:fill="FFFFFF"/>
        </w:rPr>
        <w:t xml:space="preserve"> Klienci </w:t>
      </w:r>
      <w:r w:rsidR="006F0420">
        <w:rPr>
          <w:rFonts w:cs="Tahoma"/>
          <w:sz w:val="22"/>
          <w:shd w:val="clear" w:color="auto" w:fill="FFFFFF"/>
        </w:rPr>
        <w:t xml:space="preserve">skarżyli się </w:t>
      </w:r>
      <w:r w:rsidR="00AB1225">
        <w:rPr>
          <w:rFonts w:cs="Tahoma"/>
          <w:sz w:val="22"/>
          <w:shd w:val="clear" w:color="auto" w:fill="FFFFFF"/>
        </w:rPr>
        <w:t>m.in. na</w:t>
      </w:r>
      <w:r w:rsidR="00C417D3">
        <w:rPr>
          <w:rFonts w:cs="Tahoma"/>
          <w:sz w:val="22"/>
          <w:shd w:val="clear" w:color="auto" w:fill="FFFFFF"/>
        </w:rPr>
        <w:t xml:space="preserve"> wprowadzoną w 2020 r.</w:t>
      </w:r>
      <w:r w:rsidR="00AB1225">
        <w:rPr>
          <w:rFonts w:cs="Tahoma"/>
          <w:sz w:val="22"/>
          <w:shd w:val="clear" w:color="auto" w:fill="FFFFFF"/>
        </w:rPr>
        <w:t xml:space="preserve"> opłatę za brak aktywności</w:t>
      </w:r>
      <w:r w:rsidR="00C417D3">
        <w:rPr>
          <w:rFonts w:cs="Tahoma"/>
          <w:sz w:val="22"/>
          <w:shd w:val="clear" w:color="auto" w:fill="FFFFFF"/>
        </w:rPr>
        <w:t>.</w:t>
      </w:r>
      <w:r w:rsidR="00AB1225">
        <w:rPr>
          <w:rFonts w:cs="Tahoma"/>
          <w:sz w:val="22"/>
          <w:shd w:val="clear" w:color="auto" w:fill="FFFFFF"/>
        </w:rPr>
        <w:t xml:space="preserve"> </w:t>
      </w:r>
    </w:p>
    <w:p w14:paraId="0985FB5D" w14:textId="2B5803C3" w:rsidR="00360604" w:rsidRDefault="001E52BE" w:rsidP="0036060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360604" w:rsidRPr="00360604">
        <w:rPr>
          <w:sz w:val="22"/>
        </w:rPr>
        <w:t>Urz</w:t>
      </w:r>
      <w:r>
        <w:rPr>
          <w:sz w:val="22"/>
        </w:rPr>
        <w:t>ę</w:t>
      </w:r>
      <w:r w:rsidR="00360604" w:rsidRPr="00360604">
        <w:rPr>
          <w:sz w:val="22"/>
        </w:rPr>
        <w:t>d</w:t>
      </w:r>
      <w:r>
        <w:rPr>
          <w:sz w:val="22"/>
        </w:rPr>
        <w:t>u</w:t>
      </w:r>
      <w:r w:rsidR="00360604" w:rsidRPr="00360604">
        <w:rPr>
          <w:sz w:val="22"/>
        </w:rPr>
        <w:t xml:space="preserve"> Ochrony Konkurencji i Konsumentów wydał dwie decyzje dotyczące umów z polskimi użytkownikami usług PayPal.</w:t>
      </w:r>
      <w:r w:rsidR="00360604" w:rsidRPr="00360604">
        <w:rPr>
          <w:rStyle w:val="Pogrubienie"/>
          <w:rFonts w:cs="Arial"/>
          <w:color w:val="000000"/>
          <w:sz w:val="22"/>
          <w:shd w:val="clear" w:color="auto" w:fill="FFFFFF"/>
        </w:rPr>
        <w:t xml:space="preserve"> </w:t>
      </w:r>
      <w:r w:rsidR="003B02F3">
        <w:rPr>
          <w:rFonts w:cs="Arial"/>
          <w:color w:val="000000"/>
          <w:sz w:val="22"/>
          <w:shd w:val="clear" w:color="auto" w:fill="FFFFFF"/>
        </w:rPr>
        <w:t>Z</w:t>
      </w:r>
      <w:r w:rsidR="00360604" w:rsidRPr="00360604">
        <w:rPr>
          <w:rFonts w:cs="Arial"/>
          <w:color w:val="000000"/>
          <w:sz w:val="22"/>
          <w:shd w:val="clear" w:color="auto" w:fill="FFFFFF"/>
        </w:rPr>
        <w:t xml:space="preserve">a abuzywne uznał, znajdujące się we wzorcu umowy stosowanej przez PayPal Europe od 11 grudnia 2019 r., postanowienie mówiące o tym, że spółka </w:t>
      </w:r>
      <w:r w:rsidR="00FD0543">
        <w:rPr>
          <w:rFonts w:cs="Arial"/>
          <w:color w:val="000000"/>
          <w:sz w:val="22"/>
          <w:shd w:val="clear" w:color="auto" w:fill="FFFFFF"/>
        </w:rPr>
        <w:t>„</w:t>
      </w:r>
      <w:r w:rsidR="00360604" w:rsidRPr="00360604">
        <w:rPr>
          <w:rFonts w:cs="Arial"/>
          <w:color w:val="000000"/>
          <w:sz w:val="22"/>
          <w:shd w:val="clear" w:color="auto" w:fill="FFFFFF"/>
        </w:rPr>
        <w:t>...może od czasu do czasu wprowadzać zmiany w niniejszej Umowie z Użytkownikiem oraz w innych dokumentach</w:t>
      </w:r>
      <w:r w:rsidR="00FD0543">
        <w:rPr>
          <w:rFonts w:cs="Arial"/>
          <w:color w:val="000000"/>
          <w:sz w:val="22"/>
          <w:shd w:val="clear" w:color="auto" w:fill="FFFFFF"/>
        </w:rPr>
        <w:t>”.</w:t>
      </w:r>
      <w:r w:rsidR="00360604" w:rsidRPr="00360604">
        <w:rPr>
          <w:rFonts w:cs="Arial"/>
          <w:color w:val="000000"/>
          <w:sz w:val="22"/>
          <w:shd w:val="clear" w:color="auto" w:fill="FFFFFF"/>
        </w:rPr>
        <w:t xml:space="preserve"> Uznał ponadto, że </w:t>
      </w:r>
      <w:r w:rsidR="00360604" w:rsidRPr="00360604">
        <w:rPr>
          <w:sz w:val="22"/>
        </w:rPr>
        <w:t xml:space="preserve">sposób informowania o zmianach mógł naruszać interesy </w:t>
      </w:r>
      <w:r w:rsidR="00FD0543">
        <w:rPr>
          <w:sz w:val="22"/>
        </w:rPr>
        <w:t xml:space="preserve">posiadaczy konta </w:t>
      </w:r>
      <w:r w:rsidR="00360604" w:rsidRPr="00360604">
        <w:rPr>
          <w:sz w:val="22"/>
        </w:rPr>
        <w:t>PayPal, w tym obowiązek przekazywania takich informacji na trwałym nośniku.</w:t>
      </w:r>
    </w:p>
    <w:p w14:paraId="49412FEC" w14:textId="2C906121" w:rsidR="00DA14FE" w:rsidRPr="00DA14FE" w:rsidRDefault="00DA14FE" w:rsidP="00360604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A14FE">
        <w:rPr>
          <w:b/>
          <w:color w:val="000000" w:themeColor="text1"/>
          <w:sz w:val="22"/>
        </w:rPr>
        <w:t>Dlaczego trwały nośnik</w:t>
      </w:r>
    </w:p>
    <w:p w14:paraId="1B6EF206" w14:textId="7EA21AC7" w:rsidR="00DA14FE" w:rsidRPr="00DA14FE" w:rsidRDefault="00DA14FE" w:rsidP="00360604">
      <w:pPr>
        <w:spacing w:after="240" w:line="360" w:lineRule="auto"/>
        <w:jc w:val="both"/>
        <w:rPr>
          <w:rFonts w:cs="Calibri"/>
          <w:color w:val="000000"/>
          <w:sz w:val="22"/>
        </w:rPr>
      </w:pPr>
      <w:r w:rsidRPr="0013250E">
        <w:rPr>
          <w:color w:val="000000" w:themeColor="text1"/>
          <w:sz w:val="22"/>
        </w:rPr>
        <w:t xml:space="preserve">Możliwość pobrania dokumentu ze strony internetowej lub aplikacji – które nie spełniają cech trwałego nośnika - nie daje pewności, że jest to ta sama wersja pliku, która została tam pierwotnie umieszczona. </w:t>
      </w:r>
      <w:r w:rsidRPr="0013250E">
        <w:rPr>
          <w:rFonts w:cs="Calibri"/>
          <w:color w:val="000000"/>
          <w:sz w:val="22"/>
        </w:rPr>
        <w:t xml:space="preserve">Przedsiębiorca ma </w:t>
      </w:r>
      <w:r w:rsidR="001E52BE">
        <w:rPr>
          <w:rFonts w:cs="Calibri"/>
          <w:color w:val="000000"/>
          <w:sz w:val="22"/>
        </w:rPr>
        <w:t xml:space="preserve">wówczas </w:t>
      </w:r>
      <w:r w:rsidRPr="0013250E">
        <w:rPr>
          <w:rFonts w:cs="Calibri"/>
          <w:color w:val="000000"/>
          <w:sz w:val="22"/>
        </w:rPr>
        <w:t xml:space="preserve">techniczną możliwość </w:t>
      </w:r>
      <w:r w:rsidR="001E52BE">
        <w:rPr>
          <w:rFonts w:cs="Calibri"/>
          <w:color w:val="000000"/>
          <w:sz w:val="22"/>
        </w:rPr>
        <w:t xml:space="preserve">dowolnej </w:t>
      </w:r>
      <w:r w:rsidRPr="0013250E">
        <w:rPr>
          <w:rFonts w:cs="Calibri"/>
          <w:color w:val="000000"/>
          <w:sz w:val="22"/>
        </w:rPr>
        <w:t>modyfikacji treści i zawartości swojej strony.</w:t>
      </w:r>
      <w:r w:rsidRPr="0013250E">
        <w:rPr>
          <w:color w:val="000000" w:themeColor="text1"/>
          <w:sz w:val="22"/>
        </w:rPr>
        <w:t xml:space="preserve"> Między wysłaniem wiadomości mailowej z linkiem a pobraniem dokumentu</w:t>
      </w:r>
      <w:r w:rsidR="00FD0543">
        <w:rPr>
          <w:color w:val="000000" w:themeColor="text1"/>
          <w:sz w:val="22"/>
        </w:rPr>
        <w:t>,</w:t>
      </w:r>
      <w:r w:rsidRPr="0013250E">
        <w:rPr>
          <w:color w:val="000000" w:themeColor="text1"/>
          <w:sz w:val="22"/>
        </w:rPr>
        <w:t xml:space="preserve"> plik może zostać zmieniony lub usunięty. Dlatego prawo wymaga dostarczenia konsumentom istotnych informacji na nośniku zabezpieczonym przed </w:t>
      </w:r>
      <w:r w:rsidRPr="0013250E">
        <w:rPr>
          <w:color w:val="000000" w:themeColor="text1"/>
          <w:sz w:val="22"/>
        </w:rPr>
        <w:lastRenderedPageBreak/>
        <w:t xml:space="preserve">ingerencją ze strony nadawcy. </w:t>
      </w:r>
      <w:r w:rsidRPr="0013250E">
        <w:rPr>
          <w:rFonts w:cs="Calibri"/>
          <w:color w:val="000000"/>
          <w:sz w:val="22"/>
        </w:rPr>
        <w:t xml:space="preserve">Za trwały nośnik można uznać m.in. </w:t>
      </w:r>
      <w:r w:rsidRPr="0013250E">
        <w:rPr>
          <w:rFonts w:cs="Calibri"/>
          <w:b/>
          <w:color w:val="000000"/>
          <w:sz w:val="22"/>
        </w:rPr>
        <w:t xml:space="preserve">dokument papierowy, kartę pamięci, pendrive, wiadomość mailową lub załączony do niej plik, np. w formacie pdf. </w:t>
      </w:r>
      <w:r w:rsidRPr="0013250E">
        <w:rPr>
          <w:rFonts w:cs="Calibri"/>
          <w:color w:val="000000"/>
          <w:sz w:val="22"/>
        </w:rPr>
        <w:t xml:space="preserve">Samo hiperłącze przekierowujące na stronę internetową </w:t>
      </w:r>
      <w:r w:rsidRPr="0013250E">
        <w:rPr>
          <w:rFonts w:cs="Calibri"/>
          <w:b/>
          <w:color w:val="000000"/>
          <w:sz w:val="22"/>
        </w:rPr>
        <w:t>nie spełnia</w:t>
      </w:r>
      <w:r w:rsidRPr="0013250E">
        <w:rPr>
          <w:rFonts w:cs="Calibri"/>
          <w:color w:val="000000"/>
          <w:sz w:val="22"/>
        </w:rPr>
        <w:t xml:space="preserve"> wymogów trwałego nośnika</w:t>
      </w:r>
      <w:r w:rsidR="00FD0543">
        <w:rPr>
          <w:rFonts w:cs="Calibri"/>
          <w:color w:val="000000"/>
          <w:sz w:val="22"/>
        </w:rPr>
        <w:t>.</w:t>
      </w:r>
    </w:p>
    <w:p w14:paraId="7408DA5A" w14:textId="2F9916A5" w:rsidR="00360604" w:rsidRPr="00360604" w:rsidRDefault="00F707E2" w:rsidP="00360604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Bez</w:t>
      </w:r>
      <w:r w:rsidR="00360604" w:rsidRPr="00360604">
        <w:rPr>
          <w:b/>
          <w:sz w:val="22"/>
        </w:rPr>
        <w:t xml:space="preserve"> klauzul</w:t>
      </w:r>
      <w:r>
        <w:rPr>
          <w:b/>
          <w:sz w:val="22"/>
        </w:rPr>
        <w:t>i</w:t>
      </w:r>
      <w:r w:rsidR="00360604" w:rsidRPr="00360604">
        <w:rPr>
          <w:b/>
          <w:sz w:val="22"/>
        </w:rPr>
        <w:t xml:space="preserve"> modyfikacyjn</w:t>
      </w:r>
      <w:r>
        <w:rPr>
          <w:b/>
          <w:sz w:val="22"/>
        </w:rPr>
        <w:t>ej i wyższych opłat</w:t>
      </w:r>
    </w:p>
    <w:p w14:paraId="48B19E22" w14:textId="39FA8CE6" w:rsidR="000B37B8" w:rsidRPr="00F707E2" w:rsidRDefault="000B37B8" w:rsidP="000B37B8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Prawidłowa forma dostarczenia informacji to nie wszystko. Aby przedsiębiorca mógł wprowadzić zmiany w umowie na czas nieokreślony</w:t>
      </w:r>
      <w:r w:rsidR="00411021">
        <w:rPr>
          <w:rFonts w:cs="Calibri"/>
          <w:color w:val="000000"/>
          <w:sz w:val="22"/>
        </w:rPr>
        <w:t>,</w:t>
      </w:r>
      <w:r>
        <w:rPr>
          <w:rFonts w:cs="Calibri"/>
          <w:color w:val="000000"/>
          <w:sz w:val="22"/>
        </w:rPr>
        <w:t xml:space="preserve"> niezbędna jest również odpowiednia klauzula modyfikacyjna, która zgodnie z przepisami precyzyjnie i jednoznacznie wskaże konkretne okoliczności warunkujące taką zmianę. </w:t>
      </w:r>
    </w:p>
    <w:p w14:paraId="3BDF173B" w14:textId="7DA737A8" w:rsidR="008E5B43" w:rsidRDefault="00360604" w:rsidP="008E5B43">
      <w:pPr>
        <w:spacing w:after="240" w:line="360" w:lineRule="auto"/>
        <w:jc w:val="both"/>
        <w:rPr>
          <w:rFonts w:cs="Calibri"/>
          <w:color w:val="000000"/>
          <w:sz w:val="22"/>
        </w:rPr>
      </w:pPr>
      <w:r w:rsidRPr="002C6C21">
        <w:rPr>
          <w:rFonts w:cs="Calibri"/>
          <w:color w:val="000000"/>
          <w:sz w:val="22"/>
        </w:rPr>
        <w:t xml:space="preserve">- </w:t>
      </w:r>
      <w:r w:rsidR="002C6C21" w:rsidRPr="008E5B43">
        <w:rPr>
          <w:rFonts w:cs="Calibri"/>
          <w:color w:val="000000"/>
          <w:sz w:val="22"/>
        </w:rPr>
        <w:t xml:space="preserve">Konsumenci nie powinni być zaskakiwani zmianami w umowach. Zwłaszcza kiedy te zmiany wiążą się z koniecznością poniesienia wyższych kosztów. W przypadku usług płatniczych </w:t>
      </w:r>
      <w:r w:rsidR="001E52BE">
        <w:rPr>
          <w:rFonts w:cs="Calibri"/>
          <w:color w:val="000000"/>
          <w:sz w:val="22"/>
        </w:rPr>
        <w:t xml:space="preserve">ponoszone przez konsumentów opłaty są jednym z podstawowych </w:t>
      </w:r>
      <w:r w:rsidR="003B02F3">
        <w:rPr>
          <w:rFonts w:cs="Calibri"/>
          <w:color w:val="000000"/>
          <w:sz w:val="22"/>
        </w:rPr>
        <w:t xml:space="preserve">czynników </w:t>
      </w:r>
      <w:r w:rsidR="001E52BE">
        <w:rPr>
          <w:rFonts w:cs="Calibri"/>
          <w:color w:val="000000"/>
          <w:sz w:val="22"/>
        </w:rPr>
        <w:t xml:space="preserve">warunkujących realizację transakcji. </w:t>
      </w:r>
      <w:r w:rsidR="008E5B43" w:rsidRPr="008E5B43">
        <w:rPr>
          <w:rFonts w:cs="Calibri"/>
          <w:color w:val="000000"/>
          <w:sz w:val="22"/>
        </w:rPr>
        <w:t xml:space="preserve">Postanowienia pozwalające na zmianę parametrów umowy są dozwolone, ale powinny być precyzyjne. Powinny umożliwiać konsumentowi przewidzenie zmian kosztów czy zakresu usług już na etapie podpisywania kontraktu. </w:t>
      </w:r>
      <w:r w:rsidR="008E5B43" w:rsidRPr="008E5B43">
        <w:rPr>
          <w:rStyle w:val="Pogrubienie"/>
          <w:rFonts w:cs="Arial"/>
          <w:b w:val="0"/>
          <w:color w:val="000000"/>
          <w:sz w:val="22"/>
          <w:shd w:val="clear" w:color="auto" w:fill="FFFFFF"/>
        </w:rPr>
        <w:t xml:space="preserve">Klauzula mówiąca o tym, że </w:t>
      </w:r>
      <w:r w:rsidR="008E5B43" w:rsidRPr="008E5B43">
        <w:rPr>
          <w:rFonts w:cs="Arial"/>
          <w:color w:val="000000"/>
          <w:sz w:val="22"/>
          <w:shd w:val="clear" w:color="auto" w:fill="FFFFFF"/>
        </w:rPr>
        <w:t xml:space="preserve">spółka „...może od czasu do czasu wprowadzać zmiany w </w:t>
      </w:r>
      <w:r w:rsidR="008E5B43">
        <w:rPr>
          <w:rFonts w:cs="Arial"/>
          <w:color w:val="000000"/>
          <w:sz w:val="22"/>
          <w:shd w:val="clear" w:color="auto" w:fill="FFFFFF"/>
        </w:rPr>
        <w:t xml:space="preserve">(…) </w:t>
      </w:r>
      <w:r w:rsidR="003B02F3">
        <w:rPr>
          <w:rFonts w:cs="Arial"/>
          <w:color w:val="000000"/>
          <w:sz w:val="22"/>
          <w:shd w:val="clear" w:color="auto" w:fill="FFFFFF"/>
        </w:rPr>
        <w:t>u</w:t>
      </w:r>
      <w:r w:rsidR="008E5B43" w:rsidRPr="008E5B43">
        <w:rPr>
          <w:rFonts w:cs="Arial"/>
          <w:color w:val="000000"/>
          <w:sz w:val="22"/>
          <w:shd w:val="clear" w:color="auto" w:fill="FFFFFF"/>
        </w:rPr>
        <w:t xml:space="preserve">mowie” dawała </w:t>
      </w:r>
      <w:r w:rsidR="001E52BE" w:rsidRPr="008E5B43">
        <w:rPr>
          <w:rFonts w:cs="Arial"/>
          <w:color w:val="000000"/>
          <w:sz w:val="22"/>
          <w:shd w:val="clear" w:color="auto" w:fill="FFFFFF"/>
        </w:rPr>
        <w:t xml:space="preserve">przedsiębiorcy </w:t>
      </w:r>
      <w:r w:rsidR="008E5B43" w:rsidRPr="008E5B43">
        <w:rPr>
          <w:rFonts w:cs="Arial"/>
          <w:color w:val="000000"/>
          <w:sz w:val="22"/>
          <w:shd w:val="clear" w:color="auto" w:fill="FFFFFF"/>
        </w:rPr>
        <w:t>pełną dowolność, a konsumentów narażała na przykre niespodzianki</w:t>
      </w:r>
      <w:r w:rsidR="001E52BE">
        <w:rPr>
          <w:rFonts w:cs="Arial"/>
          <w:color w:val="000000"/>
          <w:sz w:val="22"/>
          <w:shd w:val="clear" w:color="auto" w:fill="FFFFFF"/>
        </w:rPr>
        <w:t xml:space="preserve">, w tym </w:t>
      </w:r>
      <w:r w:rsidR="003B02F3">
        <w:rPr>
          <w:rFonts w:cs="Arial"/>
          <w:color w:val="000000"/>
          <w:sz w:val="22"/>
          <w:shd w:val="clear" w:color="auto" w:fill="FFFFFF"/>
        </w:rPr>
        <w:t xml:space="preserve">te </w:t>
      </w:r>
      <w:r w:rsidR="001E52BE">
        <w:rPr>
          <w:rFonts w:cs="Arial"/>
          <w:color w:val="000000"/>
          <w:sz w:val="22"/>
          <w:shd w:val="clear" w:color="auto" w:fill="FFFFFF"/>
        </w:rPr>
        <w:t>natury finansowej</w:t>
      </w:r>
      <w:r w:rsidR="008E5B43">
        <w:rPr>
          <w:rFonts w:cs="Arial"/>
          <w:color w:val="000000"/>
          <w:sz w:val="22"/>
          <w:shd w:val="clear" w:color="auto" w:fill="FFFFFF"/>
        </w:rPr>
        <w:t xml:space="preserve"> </w:t>
      </w:r>
      <w:r w:rsidRPr="008E5B43">
        <w:rPr>
          <w:color w:val="000000" w:themeColor="text1"/>
          <w:sz w:val="22"/>
        </w:rPr>
        <w:t>– mówi Prezes UOKiK Tomasz Chróstny</w:t>
      </w:r>
      <w:r w:rsidRPr="002C6C21">
        <w:rPr>
          <w:color w:val="000000" w:themeColor="text1"/>
          <w:sz w:val="22"/>
        </w:rPr>
        <w:t>.</w:t>
      </w:r>
      <w:r w:rsidRPr="00360604">
        <w:rPr>
          <w:color w:val="000000" w:themeColor="text1"/>
          <w:sz w:val="22"/>
        </w:rPr>
        <w:t xml:space="preserve"> </w:t>
      </w:r>
    </w:p>
    <w:p w14:paraId="2A68A5C4" w14:textId="652CDEF1" w:rsidR="000B37B8" w:rsidRPr="008E5B43" w:rsidRDefault="00DA14FE" w:rsidP="008E5B43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sz w:val="22"/>
        </w:rPr>
        <w:t>Zgodnie z</w:t>
      </w:r>
      <w:r w:rsidR="001E52BE">
        <w:rPr>
          <w:sz w:val="22"/>
        </w:rPr>
        <w:t xml:space="preserve"> wydaną decyzją zobowiązującą </w:t>
      </w:r>
      <w:r w:rsidR="000B37B8" w:rsidRPr="00360604">
        <w:rPr>
          <w:sz w:val="22"/>
        </w:rPr>
        <w:t>PayPal nie będzie już stosować wobec konsumentów klauzuli modyfikacyjnej oraz zmian wprowadzonych od 1 stycznia 2019 r., wraz z którymi weszły nowe opłaty za brak aktywności</w:t>
      </w:r>
      <w:r w:rsidR="009577C7">
        <w:rPr>
          <w:sz w:val="22"/>
        </w:rPr>
        <w:t xml:space="preserve"> i</w:t>
      </w:r>
      <w:r w:rsidR="000B37B8" w:rsidRPr="00360604">
        <w:rPr>
          <w:sz w:val="22"/>
        </w:rPr>
        <w:t xml:space="preserve"> za wypłatę na rachunek w banku amerykańskim. To samo dotyczy wprowadzonych w tym samym czasie zmian zwiększających opłaty związane z przewalutowaniem. </w:t>
      </w:r>
    </w:p>
    <w:p w14:paraId="540E448C" w14:textId="77777777" w:rsidR="00360604" w:rsidRPr="00360604" w:rsidRDefault="00360604" w:rsidP="00360604">
      <w:pPr>
        <w:spacing w:after="240" w:line="360" w:lineRule="auto"/>
        <w:jc w:val="both"/>
        <w:rPr>
          <w:b/>
          <w:sz w:val="22"/>
        </w:rPr>
      </w:pPr>
      <w:r w:rsidRPr="00360604">
        <w:rPr>
          <w:b/>
          <w:sz w:val="22"/>
        </w:rPr>
        <w:t>Zwrot i rekompensata</w:t>
      </w:r>
    </w:p>
    <w:p w14:paraId="42689C08" w14:textId="693A57ED" w:rsidR="00360604" w:rsidRPr="00360604" w:rsidRDefault="00902715" w:rsidP="00360604">
      <w:pPr>
        <w:spacing w:after="240" w:line="360" w:lineRule="auto"/>
        <w:jc w:val="both"/>
        <w:rPr>
          <w:rFonts w:cstheme="minorBidi"/>
          <w:sz w:val="22"/>
        </w:rPr>
      </w:pPr>
      <w:r>
        <w:rPr>
          <w:sz w:val="22"/>
        </w:rPr>
        <w:t>W</w:t>
      </w:r>
      <w:r w:rsidR="00360604" w:rsidRPr="00360604">
        <w:rPr>
          <w:rFonts w:cs="Arial"/>
          <w:color w:val="000000"/>
          <w:sz w:val="22"/>
          <w:shd w:val="clear" w:color="auto" w:fill="FFFFFF"/>
        </w:rPr>
        <w:t xml:space="preserve"> ramach </w:t>
      </w:r>
      <w:r w:rsidR="001E52BE">
        <w:rPr>
          <w:rFonts w:cs="Arial"/>
          <w:color w:val="000000"/>
          <w:sz w:val="22"/>
          <w:shd w:val="clear" w:color="auto" w:fill="FFFFFF"/>
        </w:rPr>
        <w:t xml:space="preserve">uzgodnionej </w:t>
      </w:r>
      <w:r w:rsidR="00360604" w:rsidRPr="00360604">
        <w:rPr>
          <w:rFonts w:cs="Arial"/>
          <w:color w:val="000000"/>
          <w:sz w:val="22"/>
          <w:shd w:val="clear" w:color="auto" w:fill="FFFFFF"/>
        </w:rPr>
        <w:t>rekompensaty polscy użytkownicy PayPal otrzymają zwrot w wysokości 150 proc. opłat pobranych w czasie, w którym obowiązywały postanowienia umowne zakwestionowane przez</w:t>
      </w:r>
      <w:r>
        <w:rPr>
          <w:rFonts w:cs="Arial"/>
          <w:color w:val="000000"/>
          <w:sz w:val="22"/>
          <w:shd w:val="clear" w:color="auto" w:fill="FFFFFF"/>
        </w:rPr>
        <w:t xml:space="preserve"> Prezesa</w:t>
      </w:r>
      <w:r w:rsidR="00360604" w:rsidRPr="00360604">
        <w:rPr>
          <w:rFonts w:cs="Arial"/>
          <w:color w:val="000000"/>
          <w:sz w:val="22"/>
          <w:shd w:val="clear" w:color="auto" w:fill="FFFFFF"/>
        </w:rPr>
        <w:t xml:space="preserve"> UOKiK. </w:t>
      </w:r>
    </w:p>
    <w:p w14:paraId="4236AB55" w14:textId="780EDB47" w:rsidR="00360604" w:rsidRPr="00360604" w:rsidRDefault="000B37B8" w:rsidP="00360604">
      <w:pPr>
        <w:spacing w:after="240" w:line="360" w:lineRule="auto"/>
        <w:jc w:val="both"/>
        <w:rPr>
          <w:sz w:val="22"/>
        </w:rPr>
      </w:pPr>
      <w:r>
        <w:rPr>
          <w:sz w:val="22"/>
        </w:rPr>
        <w:t>Aktualni p</w:t>
      </w:r>
      <w:r w:rsidR="00360604" w:rsidRPr="00360604">
        <w:rPr>
          <w:sz w:val="22"/>
        </w:rPr>
        <w:t>osiadacze kont w PayPal otrzymają zwrot i rekompensatę na swoje rachunki w ciągu 10 miesięcy od uprawomocnienia się decyzji Prezesa UOKiK - bez</w:t>
      </w:r>
      <w:r w:rsidR="00360604" w:rsidRPr="00360604">
        <w:rPr>
          <w:spacing w:val="-1"/>
          <w:sz w:val="22"/>
        </w:rPr>
        <w:t xml:space="preserve"> </w:t>
      </w:r>
      <w:r w:rsidR="00360604" w:rsidRPr="00360604">
        <w:rPr>
          <w:sz w:val="22"/>
        </w:rPr>
        <w:t xml:space="preserve">konieczności </w:t>
      </w:r>
      <w:r w:rsidR="00360604" w:rsidRPr="00360604">
        <w:rPr>
          <w:sz w:val="22"/>
        </w:rPr>
        <w:lastRenderedPageBreak/>
        <w:t>podejmowania</w:t>
      </w:r>
      <w:r w:rsidR="00360604" w:rsidRPr="00360604">
        <w:rPr>
          <w:spacing w:val="-1"/>
          <w:sz w:val="22"/>
        </w:rPr>
        <w:t xml:space="preserve"> </w:t>
      </w:r>
      <w:r w:rsidR="00360604" w:rsidRPr="00360604">
        <w:rPr>
          <w:sz w:val="22"/>
        </w:rPr>
        <w:t>jakichkolwiek</w:t>
      </w:r>
      <w:r w:rsidR="00360604" w:rsidRPr="00360604">
        <w:rPr>
          <w:spacing w:val="-1"/>
          <w:sz w:val="22"/>
        </w:rPr>
        <w:t xml:space="preserve"> </w:t>
      </w:r>
      <w:r w:rsidR="00360604" w:rsidRPr="00360604">
        <w:rPr>
          <w:sz w:val="22"/>
        </w:rPr>
        <w:t>działań. Zwrot i rekompensatę otrzymają też konsumenci, którzy nie mają już konta w systemie PayPal. Spółka skontaktuje się z nimi w tej sprawie -  także w ciągu 10 miesięcy od uprawomocnienia decyzji.</w:t>
      </w:r>
    </w:p>
    <w:p w14:paraId="26029CBA" w14:textId="61BA6BA2" w:rsidR="00DA14FE" w:rsidRDefault="00360604" w:rsidP="00602507">
      <w:pPr>
        <w:spacing w:after="240" w:line="360" w:lineRule="auto"/>
        <w:jc w:val="both"/>
        <w:rPr>
          <w:sz w:val="22"/>
        </w:rPr>
      </w:pPr>
      <w:r w:rsidRPr="00360604">
        <w:rPr>
          <w:rFonts w:cs="Arial"/>
          <w:color w:val="000000"/>
          <w:sz w:val="22"/>
          <w:shd w:val="clear" w:color="auto" w:fill="FFFFFF"/>
        </w:rPr>
        <w:t>Konsumenci</w:t>
      </w:r>
      <w:r w:rsidR="00C417D3">
        <w:rPr>
          <w:rFonts w:cs="Arial"/>
          <w:color w:val="000000"/>
          <w:sz w:val="22"/>
          <w:shd w:val="clear" w:color="auto" w:fill="FFFFFF"/>
        </w:rPr>
        <w:t xml:space="preserve"> dodatkowo</w:t>
      </w:r>
      <w:r w:rsidRPr="00360604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360604">
        <w:rPr>
          <w:rFonts w:cs="Arial"/>
          <w:color w:val="000000"/>
          <w:sz w:val="22"/>
          <w:shd w:val="clear" w:color="auto" w:fill="FFFFFF"/>
        </w:rPr>
        <w:t>uzyskają okresową obniżkę kursu wymiany</w:t>
      </w:r>
      <w:r w:rsidR="00CE7A3C">
        <w:rPr>
          <w:rFonts w:cs="Arial"/>
          <w:color w:val="000000"/>
          <w:sz w:val="22"/>
          <w:shd w:val="clear" w:color="auto" w:fill="FFFFFF"/>
        </w:rPr>
        <w:t xml:space="preserve"> walut</w:t>
      </w:r>
      <w:r w:rsidRPr="00360604">
        <w:rPr>
          <w:rFonts w:cs="Arial"/>
          <w:color w:val="000000"/>
          <w:sz w:val="22"/>
          <w:shd w:val="clear" w:color="auto" w:fill="FFFFFF"/>
        </w:rPr>
        <w:t>.</w:t>
      </w:r>
      <w:bookmarkStart w:id="2" w:name="_GoBack"/>
      <w:bookmarkEnd w:id="2"/>
    </w:p>
    <w:p w14:paraId="15256212" w14:textId="71F20B31" w:rsidR="002F4A02" w:rsidRDefault="002F4A02" w:rsidP="00602507">
      <w:pPr>
        <w:spacing w:after="240" w:line="360" w:lineRule="auto"/>
        <w:jc w:val="both"/>
        <w:rPr>
          <w:sz w:val="22"/>
        </w:rPr>
      </w:pPr>
      <w:r>
        <w:rPr>
          <w:sz w:val="22"/>
        </w:rPr>
        <w:t>Decyzje nie są prawomocne. Przysługuje od nich odwołanie do sądu.</w:t>
      </w:r>
    </w:p>
    <w:p w14:paraId="20778C38" w14:textId="68CCA038" w:rsidR="00FD67B4" w:rsidRDefault="00FD67B4" w:rsidP="00602507">
      <w:pPr>
        <w:spacing w:after="240" w:line="360" w:lineRule="auto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360604">
        <w:rPr>
          <w:sz w:val="22"/>
        </w:rPr>
        <w:t>To nie pierwsze decyzje Prezesa UOKiK wobec PayPal Europe</w:t>
      </w:r>
      <w:r w:rsidR="002F4A02">
        <w:rPr>
          <w:sz w:val="22"/>
        </w:rPr>
        <w:t xml:space="preserve"> - w</w:t>
      </w:r>
      <w:r w:rsidRPr="00360604">
        <w:rPr>
          <w:sz w:val="22"/>
        </w:rPr>
        <w:t xml:space="preserve"> ubiegłym roku za </w:t>
      </w:r>
      <w:hyperlink r:id="rId9" w:history="1">
        <w:r w:rsidRPr="0013250E">
          <w:rPr>
            <w:rStyle w:val="Hipercze"/>
            <w:sz w:val="22"/>
          </w:rPr>
          <w:t>stosowanie niedozwolonych klauzul</w:t>
        </w:r>
      </w:hyperlink>
      <w:r w:rsidRPr="00360604">
        <w:rPr>
          <w:sz w:val="22"/>
        </w:rPr>
        <w:t xml:space="preserve"> nałożył na spółkę blisko 106,7 mln zł kary.</w:t>
      </w:r>
      <w:r>
        <w:rPr>
          <w:sz w:val="22"/>
        </w:rPr>
        <w:t xml:space="preserve"> </w:t>
      </w:r>
    </w:p>
    <w:bookmarkEnd w:id="1"/>
    <w:p w14:paraId="70F0E64C" w14:textId="77777777" w:rsidR="00DA14FE" w:rsidRPr="002419C6" w:rsidRDefault="00DA14FE" w:rsidP="00DA14FE">
      <w:pPr>
        <w:spacing w:after="240" w:line="360" w:lineRule="auto"/>
        <w:jc w:val="both"/>
        <w:rPr>
          <w:rFonts w:cs="Calibri"/>
          <w:b/>
          <w:iCs/>
          <w:color w:val="000000"/>
          <w:sz w:val="22"/>
        </w:rPr>
      </w:pPr>
      <w:r w:rsidRPr="002419C6">
        <w:rPr>
          <w:rFonts w:cs="Calibri"/>
          <w:b/>
          <w:iCs/>
          <w:color w:val="000000"/>
          <w:sz w:val="22"/>
        </w:rPr>
        <w:t>Warto pamiętać</w:t>
      </w:r>
    </w:p>
    <w:p w14:paraId="64BFEDFD" w14:textId="6DA4464B" w:rsidR="00DA14FE" w:rsidRDefault="00DA14FE" w:rsidP="00DA14FE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Nie jesteś pewien</w:t>
      </w:r>
      <w:r w:rsidR="002F4A02">
        <w:rPr>
          <w:rFonts w:cs="Calibri"/>
          <w:color w:val="000000"/>
          <w:sz w:val="22"/>
        </w:rPr>
        <w:t>,</w:t>
      </w:r>
      <w:r>
        <w:rPr>
          <w:rFonts w:cs="Calibri"/>
          <w:color w:val="000000"/>
          <w:sz w:val="22"/>
        </w:rPr>
        <w:t xml:space="preserve"> czy zapewniono Ci informację na trwałym nośniku? Trwały nośnik, (papier, karta pamięci, pendrive, plik pdf) spełnia poniższe trzy kryteria:</w:t>
      </w:r>
    </w:p>
    <w:p w14:paraId="3219F0D5" w14:textId="77777777" w:rsidR="00DA14FE" w:rsidRDefault="00DA14FE" w:rsidP="00DA14FE">
      <w:pPr>
        <w:pStyle w:val="Akapitzlist"/>
        <w:numPr>
          <w:ilvl w:val="0"/>
          <w:numId w:val="33"/>
        </w:num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brak możliwości dokonywania zmian,</w:t>
      </w:r>
    </w:p>
    <w:p w14:paraId="2838E0C4" w14:textId="77777777" w:rsidR="00DA14FE" w:rsidRDefault="00DA14FE" w:rsidP="00DA14FE">
      <w:pPr>
        <w:pStyle w:val="Akapitzlist"/>
        <w:numPr>
          <w:ilvl w:val="0"/>
          <w:numId w:val="33"/>
        </w:num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bezpośrednia dostępność do treści w odpowiednim czasie (nawet po rozwiązaniu umowy),</w:t>
      </w:r>
    </w:p>
    <w:p w14:paraId="29137A53" w14:textId="77777777" w:rsidR="00DA14FE" w:rsidRPr="0013250E" w:rsidRDefault="00DA14FE" w:rsidP="00DA14FE">
      <w:pPr>
        <w:pStyle w:val="Akapitzlist"/>
        <w:numPr>
          <w:ilvl w:val="0"/>
          <w:numId w:val="33"/>
        </w:num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bezproblemowe odtworzenie treści w niezmienionej postaci.</w:t>
      </w:r>
    </w:p>
    <w:p w14:paraId="6B4881B0" w14:textId="040D7E01" w:rsidR="00DA14FE" w:rsidRPr="005E1035" w:rsidRDefault="00DA14FE" w:rsidP="00DA14FE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 w:rsidRPr="00614833">
        <w:rPr>
          <w:rFonts w:cs="Calibri"/>
          <w:color w:val="000000"/>
          <w:sz w:val="22"/>
        </w:rPr>
        <w:t xml:space="preserve">Definicje trwałego nośnika wynikają z przepisów </w:t>
      </w:r>
      <w:r>
        <w:rPr>
          <w:rFonts w:cs="Calibri"/>
          <w:color w:val="000000"/>
          <w:sz w:val="22"/>
        </w:rPr>
        <w:t>unijnych</w:t>
      </w:r>
      <w:r w:rsidRPr="00614833">
        <w:rPr>
          <w:rFonts w:cs="Calibri"/>
          <w:color w:val="000000"/>
          <w:sz w:val="22"/>
        </w:rPr>
        <w:t xml:space="preserve"> oraz krajowych, m.in. dyrektyw</w:t>
      </w:r>
      <w:r>
        <w:rPr>
          <w:rFonts w:cs="Calibri"/>
          <w:color w:val="000000"/>
          <w:sz w:val="22"/>
        </w:rPr>
        <w:t xml:space="preserve">y </w:t>
      </w:r>
      <w:r w:rsidRPr="00614833">
        <w:rPr>
          <w:rFonts w:cs="Calibri"/>
          <w:color w:val="000000"/>
          <w:sz w:val="22"/>
        </w:rPr>
        <w:t>2015/2366 w sprawie usług płatniczych w ramach rynku wewnętrznego (PSD2) oraz ustawy o usługach płatniczych (</w:t>
      </w:r>
      <w:r w:rsidRPr="00915F68">
        <w:rPr>
          <w:rFonts w:cs="Calibri"/>
          <w:color w:val="000000"/>
          <w:sz w:val="22"/>
        </w:rPr>
        <w:t>Dz. U. z 2024 r. poz. 30 z</w:t>
      </w:r>
      <w:r>
        <w:rPr>
          <w:rFonts w:cs="Calibri"/>
          <w:color w:val="000000"/>
          <w:sz w:val="22"/>
        </w:rPr>
        <w:t>e</w:t>
      </w:r>
      <w:r w:rsidRPr="00915F68">
        <w:rPr>
          <w:rFonts w:cs="Calibri"/>
          <w:color w:val="000000"/>
          <w:sz w:val="22"/>
        </w:rPr>
        <w:t xml:space="preserve">  zm.</w:t>
      </w:r>
      <w:r w:rsidRPr="00614833">
        <w:rPr>
          <w:rFonts w:cs="Calibri"/>
          <w:color w:val="000000"/>
          <w:sz w:val="22"/>
        </w:rPr>
        <w:t>), która implementuje t</w:t>
      </w:r>
      <w:r>
        <w:rPr>
          <w:rFonts w:cs="Calibri"/>
          <w:color w:val="000000"/>
          <w:sz w:val="22"/>
        </w:rPr>
        <w:t>ę</w:t>
      </w:r>
      <w:r w:rsidRPr="00614833">
        <w:rPr>
          <w:rFonts w:cs="Calibri"/>
          <w:color w:val="000000"/>
          <w:sz w:val="22"/>
        </w:rPr>
        <w:t xml:space="preserve"> dyrektyw</w:t>
      </w:r>
      <w:r>
        <w:rPr>
          <w:rFonts w:cs="Calibri"/>
          <w:color w:val="000000"/>
          <w:sz w:val="22"/>
        </w:rPr>
        <w:t>ę</w:t>
      </w:r>
      <w:r w:rsidRPr="00614833">
        <w:rPr>
          <w:rFonts w:cs="Calibri"/>
          <w:color w:val="000000"/>
          <w:sz w:val="22"/>
        </w:rPr>
        <w:t>.</w:t>
      </w:r>
    </w:p>
    <w:p w14:paraId="3F386113" w14:textId="77777777" w:rsidR="00DA14FE" w:rsidRPr="00DA14FE" w:rsidRDefault="00DA14FE" w:rsidP="00602507">
      <w:pPr>
        <w:spacing w:after="240" w:line="360" w:lineRule="auto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128B96E6" w14:textId="77777777" w:rsidR="0013250E" w:rsidRDefault="0013250E" w:rsidP="00602507">
      <w:pPr>
        <w:spacing w:after="240" w:line="360" w:lineRule="auto"/>
        <w:jc w:val="both"/>
        <w:rPr>
          <w:rFonts w:cs="Calibri"/>
          <w:b/>
          <w:color w:val="000000"/>
          <w:sz w:val="22"/>
        </w:rPr>
      </w:pPr>
    </w:p>
    <w:p w14:paraId="2695E249" w14:textId="62BC4094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0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1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DAE4C" w14:textId="77777777" w:rsidR="000C4B5E" w:rsidRDefault="000C4B5E">
      <w:r>
        <w:separator/>
      </w:r>
    </w:p>
  </w:endnote>
  <w:endnote w:type="continuationSeparator" w:id="0">
    <w:p w14:paraId="3264F486" w14:textId="77777777" w:rsidR="000C4B5E" w:rsidRDefault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8F22" w14:textId="47FD3656" w:rsidR="00843EC9" w:rsidRPr="00B512B5" w:rsidRDefault="008D527A" w:rsidP="00843EC9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843EC9" w:rsidRPr="00843EC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43EC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843EC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43EC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843EC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43EC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843EC9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B4FA1E0" w14:textId="581A5E9A" w:rsidR="00843EC9" w:rsidRPr="00B512B5" w:rsidRDefault="00843EC9" w:rsidP="00843EC9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4901F5C7" w14:textId="5D6375D3" w:rsidR="00441ACC" w:rsidRPr="00B512B5" w:rsidRDefault="00441ACC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23F56" w14:textId="77777777" w:rsidR="000C4B5E" w:rsidRDefault="000C4B5E">
      <w:r>
        <w:separator/>
      </w:r>
    </w:p>
  </w:footnote>
  <w:footnote w:type="continuationSeparator" w:id="0">
    <w:p w14:paraId="5F9DF817" w14:textId="77777777" w:rsidR="000C4B5E" w:rsidRDefault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6F1B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D1BF3"/>
    <w:multiLevelType w:val="multilevel"/>
    <w:tmpl w:val="7B24B224"/>
    <w:name w:val="Heading_1"/>
    <w:numStyleLink w:val="BMHeadings"/>
  </w:abstractNum>
  <w:abstractNum w:abstractNumId="1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443CB"/>
    <w:multiLevelType w:val="hybridMultilevel"/>
    <w:tmpl w:val="0824C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623"/>
    <w:multiLevelType w:val="hybridMultilevel"/>
    <w:tmpl w:val="678CE768"/>
    <w:lvl w:ilvl="0" w:tplc="435A1E38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9E5C5C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4CAA4A2">
      <w:numFmt w:val="bullet"/>
      <w:lvlText w:val=""/>
      <w:lvlJc w:val="left"/>
      <w:pPr>
        <w:ind w:left="2289" w:hanging="360"/>
      </w:pPr>
      <w:rPr>
        <w:rFonts w:ascii="Symbol" w:eastAsia="Symbol" w:hAnsi="Symbol" w:cs="Symbol" w:hint="default"/>
        <w:b w:val="0"/>
        <w:bCs w:val="0"/>
        <w:i/>
        <w:iCs/>
        <w:spacing w:val="0"/>
        <w:w w:val="96"/>
        <w:sz w:val="23"/>
        <w:szCs w:val="23"/>
        <w:lang w:val="pl-PL" w:eastAsia="en-US" w:bidi="ar-SA"/>
      </w:rPr>
    </w:lvl>
    <w:lvl w:ilvl="3" w:tplc="846C83D4">
      <w:numFmt w:val="bullet"/>
      <w:lvlText w:val="•"/>
      <w:lvlJc w:val="left"/>
      <w:pPr>
        <w:ind w:left="3158" w:hanging="360"/>
      </w:pPr>
      <w:rPr>
        <w:rFonts w:hint="default"/>
        <w:lang w:val="pl-PL" w:eastAsia="en-US" w:bidi="ar-SA"/>
      </w:rPr>
    </w:lvl>
    <w:lvl w:ilvl="4" w:tplc="E4486056">
      <w:numFmt w:val="bullet"/>
      <w:lvlText w:val="•"/>
      <w:lvlJc w:val="left"/>
      <w:pPr>
        <w:ind w:left="4036" w:hanging="360"/>
      </w:pPr>
      <w:rPr>
        <w:rFonts w:hint="default"/>
        <w:lang w:val="pl-PL" w:eastAsia="en-US" w:bidi="ar-SA"/>
      </w:rPr>
    </w:lvl>
    <w:lvl w:ilvl="5" w:tplc="2312F25E">
      <w:numFmt w:val="bullet"/>
      <w:lvlText w:val="•"/>
      <w:lvlJc w:val="left"/>
      <w:pPr>
        <w:ind w:left="4914" w:hanging="360"/>
      </w:pPr>
      <w:rPr>
        <w:rFonts w:hint="default"/>
        <w:lang w:val="pl-PL" w:eastAsia="en-US" w:bidi="ar-SA"/>
      </w:rPr>
    </w:lvl>
    <w:lvl w:ilvl="6" w:tplc="93242EF8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2B02360A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8" w:tplc="9F0AB3B8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125F0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7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65AA6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9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35"/>
  </w:num>
  <w:num w:numId="5">
    <w:abstractNumId w:val="17"/>
  </w:num>
  <w:num w:numId="6">
    <w:abstractNumId w:val="26"/>
  </w:num>
  <w:num w:numId="7">
    <w:abstractNumId w:val="27"/>
  </w:num>
  <w:num w:numId="8">
    <w:abstractNumId w:val="31"/>
  </w:num>
  <w:num w:numId="9">
    <w:abstractNumId w:val="18"/>
  </w:num>
  <w:num w:numId="10">
    <w:abstractNumId w:val="33"/>
  </w:num>
  <w:num w:numId="11">
    <w:abstractNumId w:val="0"/>
  </w:num>
  <w:num w:numId="12">
    <w:abstractNumId w:val="30"/>
  </w:num>
  <w:num w:numId="13">
    <w:abstractNumId w:val="19"/>
  </w:num>
  <w:num w:numId="14">
    <w:abstractNumId w:val="37"/>
  </w:num>
  <w:num w:numId="15">
    <w:abstractNumId w:val="39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0"/>
  </w:num>
  <w:num w:numId="22">
    <w:abstractNumId w:val="13"/>
  </w:num>
  <w:num w:numId="23">
    <w:abstractNumId w:val="5"/>
  </w:num>
  <w:num w:numId="24">
    <w:abstractNumId w:val="10"/>
  </w:num>
  <w:num w:numId="25">
    <w:abstractNumId w:val="1"/>
  </w:num>
  <w:num w:numId="26">
    <w:abstractNumId w:val="34"/>
  </w:num>
  <w:num w:numId="27">
    <w:abstractNumId w:val="1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9"/>
  </w:num>
  <w:num w:numId="31">
    <w:abstractNumId w:val="9"/>
  </w:num>
  <w:num w:numId="32">
    <w:abstractNumId w:val="14"/>
  </w:num>
  <w:num w:numId="33">
    <w:abstractNumId w:val="24"/>
  </w:num>
  <w:num w:numId="34">
    <w:abstractNumId w:val="12"/>
  </w:num>
  <w:num w:numId="35">
    <w:abstractNumId w:val="16"/>
  </w:num>
  <w:num w:numId="36">
    <w:abstractNumId w:val="11"/>
  </w:num>
  <w:num w:numId="37">
    <w:abstractNumId w:val="6"/>
  </w:num>
  <w:num w:numId="38">
    <w:abstractNumId w:val="23"/>
  </w:num>
  <w:num w:numId="39">
    <w:abstractNumId w:val="36"/>
  </w:num>
  <w:num w:numId="40">
    <w:abstractNumId w:val="38"/>
  </w:num>
  <w:num w:numId="41">
    <w:abstractNumId w:val="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16D3"/>
    <w:rsid w:val="00042F31"/>
    <w:rsid w:val="00042F96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0E08"/>
    <w:rsid w:val="00073A74"/>
    <w:rsid w:val="00073AA7"/>
    <w:rsid w:val="00081B8A"/>
    <w:rsid w:val="00084F76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7B8"/>
    <w:rsid w:val="000B3CAE"/>
    <w:rsid w:val="000B436A"/>
    <w:rsid w:val="000B49B4"/>
    <w:rsid w:val="000B4E85"/>
    <w:rsid w:val="000B53F5"/>
    <w:rsid w:val="000B622D"/>
    <w:rsid w:val="000B7247"/>
    <w:rsid w:val="000C0542"/>
    <w:rsid w:val="000C0B12"/>
    <w:rsid w:val="000C3836"/>
    <w:rsid w:val="000C4B5E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4784"/>
    <w:rsid w:val="00100546"/>
    <w:rsid w:val="00101DDB"/>
    <w:rsid w:val="00101E99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7F15"/>
    <w:rsid w:val="00120FBD"/>
    <w:rsid w:val="0012424D"/>
    <w:rsid w:val="00125A13"/>
    <w:rsid w:val="00130259"/>
    <w:rsid w:val="00130A58"/>
    <w:rsid w:val="0013159A"/>
    <w:rsid w:val="0013233C"/>
    <w:rsid w:val="0013250E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191D"/>
    <w:rsid w:val="001530BD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9070F"/>
    <w:rsid w:val="00190D5A"/>
    <w:rsid w:val="001918D9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752A"/>
    <w:rsid w:val="001B7BD8"/>
    <w:rsid w:val="001C09CA"/>
    <w:rsid w:val="001C1857"/>
    <w:rsid w:val="001C1FAD"/>
    <w:rsid w:val="001C3140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2BE"/>
    <w:rsid w:val="001E5612"/>
    <w:rsid w:val="001F2F22"/>
    <w:rsid w:val="001F4A73"/>
    <w:rsid w:val="001F5323"/>
    <w:rsid w:val="001F63E4"/>
    <w:rsid w:val="001F68BD"/>
    <w:rsid w:val="00205580"/>
    <w:rsid w:val="00206916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1E26"/>
    <w:rsid w:val="00252ECE"/>
    <w:rsid w:val="002555F4"/>
    <w:rsid w:val="00257789"/>
    <w:rsid w:val="00260382"/>
    <w:rsid w:val="00262E52"/>
    <w:rsid w:val="0026533C"/>
    <w:rsid w:val="002653B7"/>
    <w:rsid w:val="00265D3F"/>
    <w:rsid w:val="00266082"/>
    <w:rsid w:val="00266CB4"/>
    <w:rsid w:val="00267CF5"/>
    <w:rsid w:val="00267DD1"/>
    <w:rsid w:val="00270EFD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1D50"/>
    <w:rsid w:val="00292D75"/>
    <w:rsid w:val="00293525"/>
    <w:rsid w:val="0029439D"/>
    <w:rsid w:val="00295193"/>
    <w:rsid w:val="00295B34"/>
    <w:rsid w:val="00296D93"/>
    <w:rsid w:val="00297620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6C21"/>
    <w:rsid w:val="002C6DD8"/>
    <w:rsid w:val="002C743A"/>
    <w:rsid w:val="002E2BEE"/>
    <w:rsid w:val="002E388C"/>
    <w:rsid w:val="002E4BE8"/>
    <w:rsid w:val="002E5BEF"/>
    <w:rsid w:val="002E691A"/>
    <w:rsid w:val="002F1BF3"/>
    <w:rsid w:val="002F2C49"/>
    <w:rsid w:val="002F4A02"/>
    <w:rsid w:val="002F4D43"/>
    <w:rsid w:val="002F5879"/>
    <w:rsid w:val="003019D6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3394"/>
    <w:rsid w:val="0032426F"/>
    <w:rsid w:val="00324306"/>
    <w:rsid w:val="003278D6"/>
    <w:rsid w:val="003303F0"/>
    <w:rsid w:val="003311C0"/>
    <w:rsid w:val="003317C9"/>
    <w:rsid w:val="00331AFF"/>
    <w:rsid w:val="003348EF"/>
    <w:rsid w:val="0033761C"/>
    <w:rsid w:val="0034059B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47DA"/>
    <w:rsid w:val="003554A6"/>
    <w:rsid w:val="00360248"/>
    <w:rsid w:val="00360604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2EC1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02F3"/>
    <w:rsid w:val="003B11E2"/>
    <w:rsid w:val="003B3EA5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07A71"/>
    <w:rsid w:val="00411021"/>
    <w:rsid w:val="004110FA"/>
    <w:rsid w:val="00412206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1131"/>
    <w:rsid w:val="004717CE"/>
    <w:rsid w:val="00471CFE"/>
    <w:rsid w:val="00471F59"/>
    <w:rsid w:val="0047596E"/>
    <w:rsid w:val="00477B8E"/>
    <w:rsid w:val="00481053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178D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3D70"/>
    <w:rsid w:val="00534409"/>
    <w:rsid w:val="005364C3"/>
    <w:rsid w:val="00536780"/>
    <w:rsid w:val="00540372"/>
    <w:rsid w:val="00541A48"/>
    <w:rsid w:val="00542E0D"/>
    <w:rsid w:val="005430D6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66B35"/>
    <w:rsid w:val="00570092"/>
    <w:rsid w:val="00571060"/>
    <w:rsid w:val="00571E13"/>
    <w:rsid w:val="00574479"/>
    <w:rsid w:val="00576FFE"/>
    <w:rsid w:val="005772DC"/>
    <w:rsid w:val="00577DB8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39F8"/>
    <w:rsid w:val="005B6FE6"/>
    <w:rsid w:val="005C0D39"/>
    <w:rsid w:val="005C1EE9"/>
    <w:rsid w:val="005C2235"/>
    <w:rsid w:val="005C4D3B"/>
    <w:rsid w:val="005C6232"/>
    <w:rsid w:val="005C6B58"/>
    <w:rsid w:val="005D0325"/>
    <w:rsid w:val="005D0898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5F6A99"/>
    <w:rsid w:val="00602507"/>
    <w:rsid w:val="00602A1B"/>
    <w:rsid w:val="00602C7D"/>
    <w:rsid w:val="006063D0"/>
    <w:rsid w:val="0060658C"/>
    <w:rsid w:val="0061020D"/>
    <w:rsid w:val="00613C45"/>
    <w:rsid w:val="00616EE8"/>
    <w:rsid w:val="00621291"/>
    <w:rsid w:val="00623E94"/>
    <w:rsid w:val="0062597D"/>
    <w:rsid w:val="006260AA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8BC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BC"/>
    <w:rsid w:val="006C7AE3"/>
    <w:rsid w:val="006D3DC5"/>
    <w:rsid w:val="006D431C"/>
    <w:rsid w:val="006E2372"/>
    <w:rsid w:val="006E28F5"/>
    <w:rsid w:val="006E2D45"/>
    <w:rsid w:val="006E38D6"/>
    <w:rsid w:val="006E559F"/>
    <w:rsid w:val="006E7D59"/>
    <w:rsid w:val="006F0420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78A"/>
    <w:rsid w:val="00722D54"/>
    <w:rsid w:val="007234F9"/>
    <w:rsid w:val="0072598A"/>
    <w:rsid w:val="00731303"/>
    <w:rsid w:val="00732841"/>
    <w:rsid w:val="00732FF6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90439"/>
    <w:rsid w:val="00790B0C"/>
    <w:rsid w:val="0079108F"/>
    <w:rsid w:val="00796C41"/>
    <w:rsid w:val="007A1590"/>
    <w:rsid w:val="007A19D8"/>
    <w:rsid w:val="007A50E0"/>
    <w:rsid w:val="007A7309"/>
    <w:rsid w:val="007B18E7"/>
    <w:rsid w:val="007B3159"/>
    <w:rsid w:val="007B5FA6"/>
    <w:rsid w:val="007C7903"/>
    <w:rsid w:val="007D15E3"/>
    <w:rsid w:val="007D6506"/>
    <w:rsid w:val="007D676C"/>
    <w:rsid w:val="007E109D"/>
    <w:rsid w:val="007E280D"/>
    <w:rsid w:val="007E36E4"/>
    <w:rsid w:val="007E7ECD"/>
    <w:rsid w:val="007F044A"/>
    <w:rsid w:val="007F0ACE"/>
    <w:rsid w:val="007F0AD9"/>
    <w:rsid w:val="007F777B"/>
    <w:rsid w:val="00800F0E"/>
    <w:rsid w:val="0080100B"/>
    <w:rsid w:val="00802BD7"/>
    <w:rsid w:val="00804024"/>
    <w:rsid w:val="008075EB"/>
    <w:rsid w:val="0081013A"/>
    <w:rsid w:val="00810225"/>
    <w:rsid w:val="00811191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0949"/>
    <w:rsid w:val="008421C2"/>
    <w:rsid w:val="00843EC9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49CE"/>
    <w:rsid w:val="00875853"/>
    <w:rsid w:val="00880597"/>
    <w:rsid w:val="008859F4"/>
    <w:rsid w:val="00887D66"/>
    <w:rsid w:val="008903F4"/>
    <w:rsid w:val="0089124A"/>
    <w:rsid w:val="00891A46"/>
    <w:rsid w:val="008938F9"/>
    <w:rsid w:val="00896985"/>
    <w:rsid w:val="00897547"/>
    <w:rsid w:val="00897717"/>
    <w:rsid w:val="008A0E7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6C51"/>
    <w:rsid w:val="008D7537"/>
    <w:rsid w:val="008E4998"/>
    <w:rsid w:val="008E5B43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15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37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577C7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B5B28"/>
    <w:rsid w:val="009C1346"/>
    <w:rsid w:val="009C5708"/>
    <w:rsid w:val="009C5E2B"/>
    <w:rsid w:val="009C740B"/>
    <w:rsid w:val="009D05C8"/>
    <w:rsid w:val="009D1F38"/>
    <w:rsid w:val="009D2015"/>
    <w:rsid w:val="009D2A37"/>
    <w:rsid w:val="009D2C79"/>
    <w:rsid w:val="009D3AC9"/>
    <w:rsid w:val="009D48C5"/>
    <w:rsid w:val="009D596A"/>
    <w:rsid w:val="009D67D8"/>
    <w:rsid w:val="009D6FE8"/>
    <w:rsid w:val="009E00A6"/>
    <w:rsid w:val="009E0518"/>
    <w:rsid w:val="009E3C0B"/>
    <w:rsid w:val="009E5A49"/>
    <w:rsid w:val="009F2009"/>
    <w:rsid w:val="00A01ADE"/>
    <w:rsid w:val="00A02B17"/>
    <w:rsid w:val="00A02C77"/>
    <w:rsid w:val="00A03921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03BA"/>
    <w:rsid w:val="00AB1225"/>
    <w:rsid w:val="00AB1E95"/>
    <w:rsid w:val="00AB397A"/>
    <w:rsid w:val="00AB572D"/>
    <w:rsid w:val="00AB678F"/>
    <w:rsid w:val="00AB6D7A"/>
    <w:rsid w:val="00AC21A3"/>
    <w:rsid w:val="00AC2764"/>
    <w:rsid w:val="00AC499C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5407"/>
    <w:rsid w:val="00B25B6B"/>
    <w:rsid w:val="00B30951"/>
    <w:rsid w:val="00B30CC1"/>
    <w:rsid w:val="00B30E6F"/>
    <w:rsid w:val="00B337FC"/>
    <w:rsid w:val="00B36C7D"/>
    <w:rsid w:val="00B40A86"/>
    <w:rsid w:val="00B40B7B"/>
    <w:rsid w:val="00B4143A"/>
    <w:rsid w:val="00B41502"/>
    <w:rsid w:val="00B4628F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4871"/>
    <w:rsid w:val="00BA6559"/>
    <w:rsid w:val="00BA79F0"/>
    <w:rsid w:val="00BB2413"/>
    <w:rsid w:val="00BB3098"/>
    <w:rsid w:val="00BB46E6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36C0"/>
    <w:rsid w:val="00C3617E"/>
    <w:rsid w:val="00C3619D"/>
    <w:rsid w:val="00C36419"/>
    <w:rsid w:val="00C36F67"/>
    <w:rsid w:val="00C417D3"/>
    <w:rsid w:val="00C44041"/>
    <w:rsid w:val="00C44F6E"/>
    <w:rsid w:val="00C46722"/>
    <w:rsid w:val="00C4776E"/>
    <w:rsid w:val="00C525BD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261C"/>
    <w:rsid w:val="00C758FF"/>
    <w:rsid w:val="00C75D1D"/>
    <w:rsid w:val="00C7783C"/>
    <w:rsid w:val="00C81210"/>
    <w:rsid w:val="00C90A9A"/>
    <w:rsid w:val="00C9280D"/>
    <w:rsid w:val="00C93885"/>
    <w:rsid w:val="00C978B9"/>
    <w:rsid w:val="00CA0F4D"/>
    <w:rsid w:val="00CA1354"/>
    <w:rsid w:val="00CA195B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78DA"/>
    <w:rsid w:val="00CE7A3C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25351"/>
    <w:rsid w:val="00D25999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7A9"/>
    <w:rsid w:val="00D92F52"/>
    <w:rsid w:val="00D95BAD"/>
    <w:rsid w:val="00DA116F"/>
    <w:rsid w:val="00DA14FE"/>
    <w:rsid w:val="00DA1C6B"/>
    <w:rsid w:val="00DA2344"/>
    <w:rsid w:val="00DA3DB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C6D31"/>
    <w:rsid w:val="00DD13F7"/>
    <w:rsid w:val="00DD152A"/>
    <w:rsid w:val="00DD2D57"/>
    <w:rsid w:val="00DD34A3"/>
    <w:rsid w:val="00DD5BEC"/>
    <w:rsid w:val="00DD6056"/>
    <w:rsid w:val="00DD6AF0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545E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07E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2BAF"/>
    <w:rsid w:val="00E95BAE"/>
    <w:rsid w:val="00E96190"/>
    <w:rsid w:val="00E97015"/>
    <w:rsid w:val="00EA088E"/>
    <w:rsid w:val="00EA1663"/>
    <w:rsid w:val="00EA1D0A"/>
    <w:rsid w:val="00EA5928"/>
    <w:rsid w:val="00EA7F91"/>
    <w:rsid w:val="00EB1531"/>
    <w:rsid w:val="00EB1D2F"/>
    <w:rsid w:val="00EB242C"/>
    <w:rsid w:val="00EB49CA"/>
    <w:rsid w:val="00EB5364"/>
    <w:rsid w:val="00EB5CE6"/>
    <w:rsid w:val="00EB5EF2"/>
    <w:rsid w:val="00EC3DF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243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2725"/>
    <w:rsid w:val="00F533F6"/>
    <w:rsid w:val="00F5613E"/>
    <w:rsid w:val="00F562A3"/>
    <w:rsid w:val="00F6285F"/>
    <w:rsid w:val="00F6637B"/>
    <w:rsid w:val="00F66476"/>
    <w:rsid w:val="00F66A1B"/>
    <w:rsid w:val="00F707E2"/>
    <w:rsid w:val="00F7189C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78F3"/>
    <w:rsid w:val="00FB01B4"/>
    <w:rsid w:val="00FB026C"/>
    <w:rsid w:val="00FB2FD0"/>
    <w:rsid w:val="00FB4396"/>
    <w:rsid w:val="00FB54F3"/>
    <w:rsid w:val="00FB5627"/>
    <w:rsid w:val="00FB611B"/>
    <w:rsid w:val="00FC006A"/>
    <w:rsid w:val="00FC3EE6"/>
    <w:rsid w:val="00FC4EDE"/>
    <w:rsid w:val="00FC51CC"/>
    <w:rsid w:val="00FC5AC7"/>
    <w:rsid w:val="00FC6E06"/>
    <w:rsid w:val="00FC7FB4"/>
    <w:rsid w:val="00FD0543"/>
    <w:rsid w:val="00FD09D8"/>
    <w:rsid w:val="00FD1963"/>
    <w:rsid w:val="00FD1C94"/>
    <w:rsid w:val="00FD27A8"/>
    <w:rsid w:val="00FD5AA4"/>
    <w:rsid w:val="00FD67B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onad-106-mln-zl-kary-dla-payp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54C-3731-490D-83A0-95BD0FD249F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0805406-1D13-4E75-B4E3-BED5FB55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2025-07-09T05:17:00Z</dcterms:created>
  <dcterms:modified xsi:type="dcterms:W3CDTF">2025-07-09T07:36:00Z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d7432099-2517-432a-b5f6-01ce5bb6afae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