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CEBBE" w14:textId="77777777" w:rsidR="00E87875" w:rsidRPr="00D97E65" w:rsidRDefault="00E87875" w:rsidP="00E87875">
      <w:pPr>
        <w:spacing w:after="240" w:line="360" w:lineRule="auto"/>
        <w:rPr>
          <w:color w:val="000000" w:themeColor="text1"/>
          <w:sz w:val="32"/>
          <w:szCs w:val="32"/>
        </w:rPr>
      </w:pPr>
      <w:r w:rsidRPr="00D97E65">
        <w:rPr>
          <w:color w:val="000000" w:themeColor="text1"/>
          <w:sz w:val="32"/>
          <w:szCs w:val="32"/>
        </w:rPr>
        <w:t>Bezpieczeństwo produktó</w:t>
      </w:r>
      <w:r>
        <w:rPr>
          <w:color w:val="000000" w:themeColor="text1"/>
          <w:sz w:val="32"/>
          <w:szCs w:val="32"/>
        </w:rPr>
        <w:t xml:space="preserve">w </w:t>
      </w:r>
      <w:r w:rsidRPr="00D97E65">
        <w:rPr>
          <w:color w:val="000000" w:themeColor="text1"/>
          <w:sz w:val="32"/>
          <w:szCs w:val="32"/>
        </w:rPr>
        <w:t xml:space="preserve">w erze cyfrowej – zmiany prawne </w:t>
      </w:r>
    </w:p>
    <w:p w14:paraId="20ACA401" w14:textId="74A9D9A3" w:rsidR="00E87875" w:rsidRPr="002541FC" w:rsidRDefault="00E87875" w:rsidP="002541F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sz w:val="22"/>
          <w:lang w:eastAsia="en-GB"/>
        </w:rPr>
      </w:pPr>
      <w:r w:rsidRPr="00D97E65">
        <w:rPr>
          <w:b/>
          <w:sz w:val="22"/>
        </w:rPr>
        <w:t>Od dziś obowiązują nowe przepisy</w:t>
      </w:r>
      <w:r w:rsidR="002541FC">
        <w:rPr>
          <w:b/>
          <w:sz w:val="22"/>
        </w:rPr>
        <w:t xml:space="preserve"> zapewniające zakupy bezpiecznych produktów  </w:t>
      </w:r>
      <w:r w:rsidR="002541FC" w:rsidRPr="00D97E65">
        <w:rPr>
          <w:sz w:val="22"/>
        </w:rPr>
        <w:t xml:space="preserve"> </w:t>
      </w:r>
      <w:r w:rsidR="002541FC" w:rsidRPr="002541FC">
        <w:rPr>
          <w:b/>
          <w:sz w:val="22"/>
        </w:rPr>
        <w:t>każdemu konsumentowi – niezależnie od kanału sprzedaży.</w:t>
      </w:r>
    </w:p>
    <w:p w14:paraId="1A1C74E3" w14:textId="77777777" w:rsidR="00E87875" w:rsidRPr="00D97E65" w:rsidRDefault="00E87875" w:rsidP="00E87875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 w:rsidRPr="00D97E65">
        <w:rPr>
          <w:b/>
          <w:sz w:val="22"/>
        </w:rPr>
        <w:t xml:space="preserve">Nie tylko producenci, importerzy i dystrybutorzy, ale też platformy e-commerce muszą monitorować bezpieczeństwo sprzedawanych produktów. </w:t>
      </w:r>
    </w:p>
    <w:p w14:paraId="50BCD69F" w14:textId="6F933513" w:rsidR="00E87875" w:rsidRPr="00D97E65" w:rsidRDefault="002541FC" w:rsidP="00E87875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rFonts w:cs="Tahoma"/>
          <w:b/>
          <w:color w:val="000000" w:themeColor="text1"/>
          <w:sz w:val="22"/>
          <w:lang w:eastAsia="en-GB"/>
        </w:rPr>
        <w:t>Niebezpieczny</w:t>
      </w:r>
      <w:r w:rsidR="00E87875" w:rsidRPr="00D97E65">
        <w:rPr>
          <w:rFonts w:cs="Tahoma"/>
          <w:b/>
          <w:color w:val="000000" w:themeColor="text1"/>
          <w:sz w:val="22"/>
          <w:lang w:eastAsia="en-GB"/>
        </w:rPr>
        <w:t xml:space="preserve"> produkt? Konsument zysk</w:t>
      </w:r>
      <w:r>
        <w:rPr>
          <w:rFonts w:cs="Tahoma"/>
          <w:b/>
          <w:color w:val="000000" w:themeColor="text1"/>
          <w:sz w:val="22"/>
          <w:lang w:eastAsia="en-GB"/>
        </w:rPr>
        <w:t>uje</w:t>
      </w:r>
      <w:r w:rsidR="00E87875" w:rsidRPr="00D97E65">
        <w:rPr>
          <w:rFonts w:cs="Tahoma"/>
          <w:b/>
          <w:color w:val="000000" w:themeColor="text1"/>
          <w:sz w:val="22"/>
          <w:lang w:eastAsia="en-GB"/>
        </w:rPr>
        <w:t xml:space="preserve"> łatwiejszy zwrot, wymianę lub naprawę. </w:t>
      </w:r>
    </w:p>
    <w:p w14:paraId="77826767" w14:textId="7D6809D8" w:rsidR="00E87875" w:rsidRPr="00D97E65" w:rsidRDefault="00E87875" w:rsidP="00E87875">
      <w:pPr>
        <w:spacing w:after="240" w:line="360" w:lineRule="auto"/>
        <w:jc w:val="both"/>
        <w:rPr>
          <w:sz w:val="22"/>
        </w:rPr>
      </w:pPr>
      <w:r w:rsidRPr="002541FC">
        <w:rPr>
          <w:b/>
          <w:sz w:val="22"/>
        </w:rPr>
        <w:t>[Warszawa, 13 grudnia 2024 r.]</w:t>
      </w:r>
      <w:r w:rsidRPr="00D97E65">
        <w:rPr>
          <w:sz w:val="22"/>
        </w:rPr>
        <w:t xml:space="preserve"> Polska wprowadza w życie unijne przepisy </w:t>
      </w:r>
      <w:hyperlink r:id="rId9" w:history="1">
        <w:r w:rsidRPr="00D97E65">
          <w:rPr>
            <w:rStyle w:val="Hipercze"/>
            <w:sz w:val="22"/>
          </w:rPr>
          <w:t>General Product Safety Regulation</w:t>
        </w:r>
      </w:hyperlink>
      <w:r w:rsidRPr="00D97E65">
        <w:rPr>
          <w:sz w:val="22"/>
        </w:rPr>
        <w:t xml:space="preserve"> - które podnoszą standardy bezpieczeństwa produktów oferowanych konsumentom oraz dostosowują prawo do rzeczywistości gospodarki cyfrowej. </w:t>
      </w:r>
      <w:r w:rsidRPr="00D97E65">
        <w:rPr>
          <w:rFonts w:cstheme="minorHAnsi"/>
          <w:sz w:val="22"/>
        </w:rPr>
        <w:t xml:space="preserve">GPSR zastępuje ponad 20-letnią dyrektywę. </w:t>
      </w:r>
      <w:r w:rsidRPr="00D97E65">
        <w:rPr>
          <w:sz w:val="22"/>
        </w:rPr>
        <w:t xml:space="preserve">Handel w dużej mierze przeniósł się do internetu, dlatego nowe regulacje stawiają większe wymagania platformom sprzedażowym, producentom i importerom, zapewniając bezpieczeństwo każdemu konsumentowi – niezależnie od kanału sprzedaży. </w:t>
      </w:r>
    </w:p>
    <w:p w14:paraId="60C5CBDC" w14:textId="09CB51E2" w:rsidR="00E87875" w:rsidRDefault="00E87875" w:rsidP="001E3E89">
      <w:pPr>
        <w:spacing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2541FC">
        <w:rPr>
          <w:sz w:val="22"/>
        </w:rPr>
        <w:t>-</w:t>
      </w:r>
      <w:r w:rsidR="002541FC" w:rsidRPr="002541FC">
        <w:rPr>
          <w:sz w:val="22"/>
        </w:rPr>
        <w:t xml:space="preserve"> </w:t>
      </w:r>
      <w:r w:rsidR="00AF7C5C">
        <w:rPr>
          <w:bCs/>
          <w:sz w:val="22"/>
        </w:rPr>
        <w:t>Obowiązujące od dziś p</w:t>
      </w:r>
      <w:r w:rsidR="002541FC" w:rsidRPr="002541FC">
        <w:rPr>
          <w:bCs/>
          <w:sz w:val="22"/>
        </w:rPr>
        <w:t>rzepisy dotyczące bezpieczeństwa produktów to ważny krok w stronę zwiększenia ochrony konsumentów, zwłaszcza w dobie rosnącej popularności zakupów online. Wprowadzają one szereg zmian, które gwarantują dostęp do bezpiecznych towarów, bez względu na to gdzie i w jaki sposób je kupujemy. Jednocześnie regulacja rozszerza krąg przedsiębiorców odpowiedzialnych za bezpieczeństwo i nakłada na nich dodatkowe obowiązki</w:t>
      </w:r>
      <w:r w:rsidR="00297A56">
        <w:rPr>
          <w:bCs/>
          <w:sz w:val="22"/>
        </w:rPr>
        <w:t xml:space="preserve">. </w:t>
      </w:r>
      <w:r w:rsidR="00D70507" w:rsidRPr="00297A56">
        <w:rPr>
          <w:rStyle w:val="Pogrubienie"/>
          <w:b w:val="0"/>
          <w:sz w:val="22"/>
          <w:shd w:val="clear" w:color="auto" w:fill="FFFFFF"/>
        </w:rPr>
        <w:t>Ułatw</w:t>
      </w:r>
      <w:r w:rsidR="00D70507">
        <w:rPr>
          <w:rStyle w:val="Pogrubienie"/>
          <w:b w:val="0"/>
          <w:sz w:val="22"/>
          <w:shd w:val="clear" w:color="auto" w:fill="FFFFFF"/>
        </w:rPr>
        <w:t xml:space="preserve">ia </w:t>
      </w:r>
      <w:r w:rsidR="00D70507" w:rsidRPr="00297A56">
        <w:rPr>
          <w:rStyle w:val="Pogrubienie"/>
          <w:b w:val="0"/>
          <w:sz w:val="22"/>
          <w:shd w:val="clear" w:color="auto" w:fill="FFFFFF"/>
        </w:rPr>
        <w:t xml:space="preserve">odzyskanie produktu od nabywców </w:t>
      </w:r>
      <w:r w:rsidR="00D70507">
        <w:rPr>
          <w:rStyle w:val="Pogrubienie"/>
          <w:b w:val="0"/>
          <w:sz w:val="22"/>
          <w:shd w:val="clear" w:color="auto" w:fill="FFFFFF"/>
        </w:rPr>
        <w:t xml:space="preserve">w przypadku </w:t>
      </w:r>
      <w:r w:rsidR="00D70507" w:rsidRPr="00297A56">
        <w:rPr>
          <w:rStyle w:val="Pogrubienie"/>
          <w:b w:val="0"/>
          <w:sz w:val="22"/>
          <w:shd w:val="clear" w:color="auto" w:fill="FFFFFF"/>
        </w:rPr>
        <w:t>tzw. recall</w:t>
      </w:r>
      <w:r w:rsidR="00D70507">
        <w:rPr>
          <w:rStyle w:val="Pogrubienie"/>
          <w:b w:val="0"/>
          <w:sz w:val="22"/>
          <w:shd w:val="clear" w:color="auto" w:fill="FFFFFF"/>
        </w:rPr>
        <w:t xml:space="preserve">, czyli wycofywania z rynku stwarzających zagrożenie towarów. </w:t>
      </w:r>
      <w:r w:rsidR="002541FC" w:rsidRPr="002541FC">
        <w:rPr>
          <w:bCs/>
          <w:sz w:val="22"/>
        </w:rPr>
        <w:t>Daje im również jasne wytyczne usprawniające zakup bezpiecznych produktów</w:t>
      </w:r>
      <w:r w:rsidR="001E3E89">
        <w:rPr>
          <w:bCs/>
          <w:sz w:val="22"/>
        </w:rPr>
        <w:t xml:space="preserve">. </w:t>
      </w:r>
      <w:r w:rsidR="00AF7C5C">
        <w:rPr>
          <w:bCs/>
          <w:sz w:val="22"/>
        </w:rPr>
        <w:t>J</w:t>
      </w:r>
      <w:r w:rsidR="001E3E89">
        <w:rPr>
          <w:bCs/>
          <w:sz w:val="22"/>
        </w:rPr>
        <w:t>esteśmy w trakcie prac nad przepisami wykonawczymi podnoszącymi między innymi zakresy sankcji za wprowadzenie produktu niebezpiecznego do obrotu</w:t>
      </w:r>
      <w:r w:rsidR="00D70507">
        <w:rPr>
          <w:bCs/>
          <w:sz w:val="22"/>
        </w:rPr>
        <w:t>, tak by dać jasny sygnał</w:t>
      </w:r>
      <w:r w:rsidR="00AF7C5C">
        <w:rPr>
          <w:bCs/>
          <w:sz w:val="22"/>
        </w:rPr>
        <w:t xml:space="preserve"> przedsiębiorcom</w:t>
      </w:r>
      <w:r w:rsidR="00D70507">
        <w:rPr>
          <w:bCs/>
          <w:sz w:val="22"/>
        </w:rPr>
        <w:t xml:space="preserve">, że oczekujemy </w:t>
      </w:r>
      <w:r w:rsidR="00AF7C5C">
        <w:rPr>
          <w:bCs/>
          <w:sz w:val="22"/>
        </w:rPr>
        <w:t xml:space="preserve">od nich </w:t>
      </w:r>
      <w:r w:rsidR="00D70507">
        <w:rPr>
          <w:bCs/>
          <w:sz w:val="22"/>
        </w:rPr>
        <w:t xml:space="preserve">widocznej poprawy na rynku </w:t>
      </w:r>
      <w:r w:rsidR="001E3E89">
        <w:rPr>
          <w:bCs/>
          <w:sz w:val="22"/>
        </w:rPr>
        <w:t xml:space="preserve"> </w:t>
      </w:r>
      <w:r w:rsidRPr="00D97E65">
        <w:rPr>
          <w:rStyle w:val="Pogrubienie"/>
          <w:b w:val="0"/>
          <w:sz w:val="22"/>
          <w:shd w:val="clear" w:color="auto" w:fill="FFFFFF"/>
        </w:rPr>
        <w:t xml:space="preserve">– </w:t>
      </w:r>
      <w:r w:rsidR="002541FC">
        <w:rPr>
          <w:rStyle w:val="Pogrubienie"/>
          <w:b w:val="0"/>
          <w:sz w:val="22"/>
          <w:shd w:val="clear" w:color="auto" w:fill="FFFFFF"/>
        </w:rPr>
        <w:t>wyjaśnia</w:t>
      </w:r>
      <w:r w:rsidRPr="00D97E65">
        <w:rPr>
          <w:rStyle w:val="Pogrubienie"/>
          <w:b w:val="0"/>
          <w:sz w:val="22"/>
          <w:shd w:val="clear" w:color="auto" w:fill="FFFFFF"/>
        </w:rPr>
        <w:t xml:space="preserve"> Prezes UOKiK Tomasz Chróstny. </w:t>
      </w:r>
    </w:p>
    <w:p w14:paraId="6C256788" w14:textId="77777777" w:rsidR="001E3E89" w:rsidRPr="001E3E89" w:rsidRDefault="001E3E89" w:rsidP="001E3E89">
      <w:pPr>
        <w:spacing w:line="360" w:lineRule="auto"/>
        <w:jc w:val="both"/>
        <w:rPr>
          <w:bCs/>
          <w:sz w:val="22"/>
        </w:rPr>
      </w:pPr>
    </w:p>
    <w:p w14:paraId="1F2A9110" w14:textId="77777777" w:rsidR="00E87875" w:rsidRPr="00D97E65" w:rsidRDefault="00E87875" w:rsidP="00E87875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D97E65">
        <w:rPr>
          <w:rStyle w:val="Pogrubienie"/>
          <w:sz w:val="22"/>
          <w:shd w:val="clear" w:color="auto" w:fill="FFFFFF"/>
        </w:rPr>
        <w:t xml:space="preserve">Kto jest odpowiedzialny za bezpieczeństwo produktu? </w:t>
      </w:r>
    </w:p>
    <w:p w14:paraId="3F0BD9FF" w14:textId="77777777" w:rsidR="00E87875" w:rsidRPr="00D97E65" w:rsidRDefault="00E87875" w:rsidP="00E8787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D97E65">
        <w:rPr>
          <w:rStyle w:val="Pogrubienie"/>
          <w:b w:val="0"/>
          <w:sz w:val="22"/>
          <w:shd w:val="clear" w:color="auto" w:fill="FFFFFF"/>
        </w:rPr>
        <w:t xml:space="preserve">Nowe przepisy rozszerzają krąg podmiotów odpowiedzialnych za bezpieczeństwo produktów o platformy zakupowe online. </w:t>
      </w:r>
      <w:r w:rsidRPr="00D97E65">
        <w:rPr>
          <w:sz w:val="22"/>
        </w:rPr>
        <w:t>Dotychczas obowiązek ten spoczywał głównie na producentach i importerach.</w:t>
      </w:r>
      <w:r w:rsidRPr="00D97E65">
        <w:rPr>
          <w:rStyle w:val="Pogrubienie"/>
          <w:b w:val="0"/>
          <w:sz w:val="22"/>
          <w:shd w:val="clear" w:color="auto" w:fill="FFFFFF"/>
        </w:rPr>
        <w:t xml:space="preserve"> Oznacza to, że platformy takie jak Allegro, Amazon, Temu etc. nie mogą dłużej pełnić jedynie roli pośrednika, ale muszą aktywnie uczestniczyć w zapewnianiu </w:t>
      </w:r>
      <w:r w:rsidRPr="00D97E65">
        <w:rPr>
          <w:rStyle w:val="Pogrubienie"/>
          <w:b w:val="0"/>
          <w:sz w:val="22"/>
          <w:shd w:val="clear" w:color="auto" w:fill="FFFFFF"/>
        </w:rPr>
        <w:lastRenderedPageBreak/>
        <w:t xml:space="preserve">bezpieczeństwa produktów sprzedawanych za ich pośrednictwem. Serwisy e-commerce są zobowiązane do monitorowania ofert i usuwania tych, które nie spełniają wymogów bezpieczeństwa. Jeśli platforma zakupowa nie podejmie odpowiednich działań, poniesie odpowiedzialność. </w:t>
      </w:r>
    </w:p>
    <w:p w14:paraId="0EB65060" w14:textId="77777777" w:rsidR="00E87875" w:rsidRPr="00D97E65" w:rsidRDefault="00E87875" w:rsidP="00E87875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D97E65">
        <w:rPr>
          <w:rStyle w:val="Pogrubienie"/>
          <w:sz w:val="22"/>
          <w:shd w:val="clear" w:color="auto" w:fill="FFFFFF"/>
        </w:rPr>
        <w:t xml:space="preserve">Co to znaczy, że produkt jest bezpieczny? </w:t>
      </w:r>
    </w:p>
    <w:p w14:paraId="03363929" w14:textId="12FB50E4" w:rsidR="00E87875" w:rsidRPr="00D97E65" w:rsidRDefault="00E87875" w:rsidP="00E8787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D97E65">
        <w:rPr>
          <w:sz w:val="22"/>
        </w:rPr>
        <w:t xml:space="preserve">Według nowych przepisów, oprócz tradycyjnych kryteriów, takich jak skład, właściwości fizyczne czy mechaniczne, przy ocenie bezpieczeństwa organy nadzoru rynku będą również sprawdzać: </w:t>
      </w:r>
    </w:p>
    <w:p w14:paraId="523B9BE8" w14:textId="72C3568C" w:rsidR="00E87875" w:rsidRPr="00D97E65" w:rsidRDefault="00E87875" w:rsidP="00E87875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D97E65">
        <w:rPr>
          <w:rStyle w:val="Pogrubienie"/>
          <w:sz w:val="22"/>
          <w:shd w:val="clear" w:color="auto" w:fill="FFFFFF"/>
        </w:rPr>
        <w:t>Sposób prezentacji produktu:</w:t>
      </w:r>
      <w:r w:rsidR="002541FC">
        <w:rPr>
          <w:rStyle w:val="Pogrubienie"/>
          <w:b w:val="0"/>
          <w:sz w:val="22"/>
          <w:shd w:val="clear" w:color="auto" w:fill="FFFFFF"/>
        </w:rPr>
        <w:t xml:space="preserve"> </w:t>
      </w:r>
      <w:r>
        <w:rPr>
          <w:rStyle w:val="Pogrubienie"/>
          <w:b w:val="0"/>
          <w:sz w:val="22"/>
          <w:shd w:val="clear" w:color="auto" w:fill="FFFFFF"/>
        </w:rPr>
        <w:t>o</w:t>
      </w:r>
      <w:r w:rsidRPr="00D97E65">
        <w:rPr>
          <w:rStyle w:val="Pogrubienie"/>
          <w:b w:val="0"/>
          <w:sz w:val="22"/>
          <w:shd w:val="clear" w:color="auto" w:fill="FFFFFF"/>
        </w:rPr>
        <w:t xml:space="preserve">znakowanie i instrukcje, trwałość, miejsce i czytelność umieszczenia ostrzeżeń, </w:t>
      </w:r>
      <w:r w:rsidR="002541FC" w:rsidRPr="00D97E65">
        <w:rPr>
          <w:rStyle w:val="Pogrubienie"/>
          <w:b w:val="0"/>
          <w:sz w:val="22"/>
          <w:shd w:val="clear" w:color="auto" w:fill="FFFFFF"/>
        </w:rPr>
        <w:t>oddziaływanie na inne produkty</w:t>
      </w:r>
      <w:r w:rsidR="002541FC">
        <w:rPr>
          <w:rStyle w:val="Pogrubienie"/>
          <w:b w:val="0"/>
          <w:sz w:val="22"/>
          <w:shd w:val="clear" w:color="auto" w:fill="FFFFFF"/>
        </w:rPr>
        <w:t xml:space="preserve">, </w:t>
      </w:r>
      <w:r w:rsidRPr="00D97E65">
        <w:rPr>
          <w:rStyle w:val="Pogrubienie"/>
          <w:b w:val="0"/>
          <w:sz w:val="22"/>
          <w:shd w:val="clear" w:color="auto" w:fill="FFFFFF"/>
        </w:rPr>
        <w:t>w tym utylizac</w:t>
      </w:r>
      <w:r w:rsidR="00D70507">
        <w:rPr>
          <w:rStyle w:val="Pogrubienie"/>
          <w:b w:val="0"/>
          <w:sz w:val="22"/>
          <w:shd w:val="clear" w:color="auto" w:fill="FFFFFF"/>
        </w:rPr>
        <w:t xml:space="preserve">ja i </w:t>
      </w:r>
      <w:r w:rsidRPr="00D97E65">
        <w:rPr>
          <w:rStyle w:val="Pogrubienie"/>
          <w:b w:val="0"/>
          <w:sz w:val="22"/>
          <w:shd w:val="clear" w:color="auto" w:fill="FFFFFF"/>
        </w:rPr>
        <w:t>jej wpływ na środowisko</w:t>
      </w:r>
      <w:r w:rsidR="002541FC">
        <w:rPr>
          <w:rStyle w:val="Pogrubienie"/>
          <w:b w:val="0"/>
          <w:sz w:val="22"/>
          <w:shd w:val="clear" w:color="auto" w:fill="FFFFFF"/>
        </w:rPr>
        <w:t xml:space="preserve">. </w:t>
      </w:r>
    </w:p>
    <w:p w14:paraId="53D8EE19" w14:textId="49682361" w:rsidR="00E87875" w:rsidRPr="00D97E65" w:rsidRDefault="00E87875" w:rsidP="00E87875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D97E65">
        <w:rPr>
          <w:rStyle w:val="Pogrubienie"/>
          <w:sz w:val="22"/>
          <w:shd w:val="clear" w:color="auto" w:fill="FFFFFF"/>
        </w:rPr>
        <w:t>Poziom cyberbezpieczeństwa</w:t>
      </w:r>
      <w:r w:rsidRPr="00D97E65">
        <w:rPr>
          <w:rStyle w:val="Pogrubienie"/>
          <w:b w:val="0"/>
          <w:sz w:val="22"/>
          <w:shd w:val="clear" w:color="auto" w:fill="FFFFFF"/>
        </w:rPr>
        <w:t>: w przypadku produktów, które łączą się z internetem, istotne jest, aby były one zabezpieczone przed atakami hakerów i innymi zagrożeniami cybernetycznymi</w:t>
      </w:r>
      <w:r w:rsidR="002541FC">
        <w:rPr>
          <w:rStyle w:val="Pogrubienie"/>
          <w:b w:val="0"/>
          <w:sz w:val="22"/>
          <w:shd w:val="clear" w:color="auto" w:fill="FFFFFF"/>
        </w:rPr>
        <w:t>.</w:t>
      </w:r>
      <w:r w:rsidRPr="00D97E65">
        <w:rPr>
          <w:rStyle w:val="Pogrubienie"/>
          <w:b w:val="0"/>
          <w:sz w:val="22"/>
          <w:shd w:val="clear" w:color="auto" w:fill="FFFFFF"/>
        </w:rPr>
        <w:t xml:space="preserve"> </w:t>
      </w:r>
    </w:p>
    <w:p w14:paraId="44330541" w14:textId="4A91D371" w:rsidR="00E87875" w:rsidRPr="00D97E65" w:rsidRDefault="00E87875" w:rsidP="00E87875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D97E65">
        <w:rPr>
          <w:rStyle w:val="Pogrubienie"/>
          <w:sz w:val="22"/>
          <w:shd w:val="clear" w:color="auto" w:fill="FFFFFF"/>
        </w:rPr>
        <w:t>Wygląd produktu:</w:t>
      </w:r>
      <w:r w:rsidRPr="00D97E65">
        <w:rPr>
          <w:rStyle w:val="Pogrubienie"/>
          <w:b w:val="0"/>
          <w:sz w:val="22"/>
          <w:shd w:val="clear" w:color="auto" w:fill="FFFFFF"/>
        </w:rPr>
        <w:t xml:space="preserve"> jeśli wygląd produktu </w:t>
      </w:r>
      <w:r w:rsidRPr="00D97E65">
        <w:rPr>
          <w:sz w:val="22"/>
        </w:rPr>
        <w:t xml:space="preserve">może sugerować inne zastosowanie, musi mieć informację o tym, by nie używać go w sposób niezgodny z przeznaczeniem. Na przykład świeca </w:t>
      </w:r>
      <w:r w:rsidRPr="00167430">
        <w:rPr>
          <w:sz w:val="22"/>
        </w:rPr>
        <w:t>przypominająca ciastko musi mieć ostrzeżenie, że nie jest przeznaczona do spożycia</w:t>
      </w:r>
      <w:bookmarkStart w:id="0" w:name="_GoBack"/>
      <w:bookmarkEnd w:id="0"/>
      <w:r w:rsidR="00167430" w:rsidRPr="00167430">
        <w:rPr>
          <w:sz w:val="22"/>
        </w:rPr>
        <w:t xml:space="preserve">, </w:t>
      </w:r>
      <w:r w:rsidR="00167430" w:rsidRPr="00167430">
        <w:rPr>
          <w:iCs/>
          <w:sz w:val="22"/>
        </w:rPr>
        <w:t>a jednocześnie</w:t>
      </w:r>
      <w:r w:rsidR="00167430" w:rsidRPr="00167430">
        <w:rPr>
          <w:rFonts w:cs="Segoe UI"/>
          <w:iCs/>
          <w:color w:val="000000"/>
          <w:sz w:val="22"/>
        </w:rPr>
        <w:t xml:space="preserve"> nie może poprzez imitowanie żywności stwarzać ryzyk</w:t>
      </w:r>
      <w:r w:rsidR="00167430">
        <w:rPr>
          <w:rFonts w:cs="Segoe UI"/>
          <w:iCs/>
          <w:color w:val="000000"/>
          <w:sz w:val="22"/>
        </w:rPr>
        <w:t>a</w:t>
      </w:r>
      <w:r w:rsidR="00167430" w:rsidRPr="00167430">
        <w:rPr>
          <w:rFonts w:cs="Segoe UI"/>
          <w:iCs/>
          <w:color w:val="000000"/>
          <w:sz w:val="22"/>
        </w:rPr>
        <w:t xml:space="preserve"> dla użytkowników, szczególnie dzieci (każdy przypadek organ rozpatruje indywidualnie)</w:t>
      </w:r>
      <w:r w:rsidR="00167430" w:rsidRPr="00167430">
        <w:rPr>
          <w:rFonts w:cs="Segoe UI"/>
          <w:color w:val="000000"/>
          <w:sz w:val="22"/>
        </w:rPr>
        <w:t>.</w:t>
      </w:r>
    </w:p>
    <w:p w14:paraId="05451925" w14:textId="77777777" w:rsidR="001E3E89" w:rsidRDefault="00E87875" w:rsidP="00E87875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D97E65">
        <w:rPr>
          <w:rStyle w:val="Pogrubienie"/>
          <w:sz w:val="22"/>
          <w:shd w:val="clear" w:color="auto" w:fill="FFFFFF"/>
        </w:rPr>
        <w:t xml:space="preserve">Większe prawa konsumentów </w:t>
      </w:r>
    </w:p>
    <w:p w14:paraId="40882447" w14:textId="4A74FE1A" w:rsidR="00E87875" w:rsidRPr="001E3E89" w:rsidRDefault="00E87875" w:rsidP="00E87875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D97E65">
        <w:rPr>
          <w:rStyle w:val="Pogrubienie"/>
          <w:b w:val="0"/>
          <w:sz w:val="22"/>
          <w:shd w:val="clear" w:color="auto" w:fill="FFFFFF"/>
        </w:rPr>
        <w:t xml:space="preserve">Regulacja unijna wzmacnia ochronę konsumentów. Daje prawo do: </w:t>
      </w:r>
    </w:p>
    <w:p w14:paraId="70FF114F" w14:textId="7F34A2E9" w:rsidR="001E3E89" w:rsidRPr="001E3E89" w:rsidRDefault="00E87875" w:rsidP="001E3E89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1E3E89">
        <w:rPr>
          <w:rStyle w:val="Pogrubienie"/>
          <w:b w:val="0"/>
          <w:sz w:val="22"/>
          <w:shd w:val="clear" w:color="auto" w:fill="FFFFFF"/>
        </w:rPr>
        <w:t>Zakupu produktów tak samo bezpiecznych w internecie, jak w sklepach stacjonarnych</w:t>
      </w:r>
      <w:r w:rsidR="00297A56">
        <w:rPr>
          <w:rStyle w:val="Pogrubienie"/>
          <w:b w:val="0"/>
          <w:sz w:val="22"/>
          <w:shd w:val="clear" w:color="auto" w:fill="FFFFFF"/>
        </w:rPr>
        <w:t>.</w:t>
      </w:r>
      <w:r w:rsidRPr="001E3E89">
        <w:rPr>
          <w:rStyle w:val="Pogrubienie"/>
          <w:b w:val="0"/>
          <w:sz w:val="22"/>
          <w:shd w:val="clear" w:color="auto" w:fill="FFFFFF"/>
        </w:rPr>
        <w:t xml:space="preserve"> </w:t>
      </w:r>
    </w:p>
    <w:p w14:paraId="03DE3126" w14:textId="31BD3079" w:rsidR="001E3E89" w:rsidRPr="001E3E89" w:rsidRDefault="001E3E89" w:rsidP="001E3E89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1E3E89">
        <w:rPr>
          <w:rStyle w:val="Pogrubienie"/>
          <w:b w:val="0"/>
          <w:sz w:val="22"/>
          <w:shd w:val="clear" w:color="auto" w:fill="FFFFFF"/>
        </w:rPr>
        <w:t>Jasnych informacji o produkcie, bez względu na sposób zakupu</w:t>
      </w:r>
      <w:r w:rsidR="00297A56">
        <w:rPr>
          <w:rStyle w:val="Pogrubienie"/>
          <w:b w:val="0"/>
          <w:sz w:val="22"/>
          <w:shd w:val="clear" w:color="auto" w:fill="FFFFFF"/>
        </w:rPr>
        <w:t>.</w:t>
      </w:r>
    </w:p>
    <w:p w14:paraId="7E103A38" w14:textId="41F972EA" w:rsidR="001E3E89" w:rsidRPr="001E3E89" w:rsidRDefault="001E3E89" w:rsidP="001E3E89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1E3E89">
        <w:rPr>
          <w:rStyle w:val="Pogrubienie"/>
          <w:b w:val="0"/>
          <w:sz w:val="22"/>
          <w:shd w:val="clear" w:color="auto" w:fill="FFFFFF"/>
        </w:rPr>
        <w:t>Łatwiejszej identyfikacji firmy odpowiedzialnej za bezpieczeństwo produktu</w:t>
      </w:r>
      <w:r w:rsidR="00297A56">
        <w:rPr>
          <w:rStyle w:val="Pogrubienie"/>
          <w:b w:val="0"/>
          <w:sz w:val="22"/>
          <w:shd w:val="clear" w:color="auto" w:fill="FFFFFF"/>
        </w:rPr>
        <w:t>.</w:t>
      </w:r>
    </w:p>
    <w:p w14:paraId="7E509139" w14:textId="1C9517A9" w:rsidR="001E3E89" w:rsidRPr="001E3E89" w:rsidRDefault="001E3E89" w:rsidP="001E3E89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1E3E89">
        <w:rPr>
          <w:rStyle w:val="Pogrubienie"/>
          <w:b w:val="0"/>
          <w:sz w:val="22"/>
          <w:shd w:val="clear" w:color="auto" w:fill="FFFFFF"/>
        </w:rPr>
        <w:t>Prostszego zgłoszenia produktów niebezpiecznych – producenci, importerzy i platformy zakupowe muszą podać kanały komunikacji, za pośrednictwem których będ</w:t>
      </w:r>
      <w:r>
        <w:rPr>
          <w:rStyle w:val="Pogrubienie"/>
          <w:b w:val="0"/>
          <w:sz w:val="22"/>
          <w:shd w:val="clear" w:color="auto" w:fill="FFFFFF"/>
        </w:rPr>
        <w:t>zie można zawiadomić o zagrożeniu</w:t>
      </w:r>
      <w:r w:rsidR="00297A56">
        <w:rPr>
          <w:rStyle w:val="Pogrubienie"/>
          <w:b w:val="0"/>
          <w:sz w:val="22"/>
          <w:shd w:val="clear" w:color="auto" w:fill="FFFFFF"/>
        </w:rPr>
        <w:t>.</w:t>
      </w:r>
    </w:p>
    <w:p w14:paraId="2E001A97" w14:textId="0B0964FB" w:rsidR="001E3E89" w:rsidRPr="001E3E89" w:rsidRDefault="001E3E89" w:rsidP="001E3E89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1E3E89">
        <w:rPr>
          <w:rStyle w:val="Pogrubienie"/>
          <w:b w:val="0"/>
          <w:sz w:val="22"/>
          <w:shd w:val="clear" w:color="auto" w:fill="FFFFFF"/>
        </w:rPr>
        <w:lastRenderedPageBreak/>
        <w:t>Wyboru sposobu rekompensaty w przypadku produktu niebezpiecznego</w:t>
      </w:r>
      <w:r w:rsidR="00297A56">
        <w:rPr>
          <w:rStyle w:val="Pogrubienie"/>
          <w:b w:val="0"/>
          <w:sz w:val="22"/>
          <w:shd w:val="clear" w:color="auto" w:fill="FFFFFF"/>
        </w:rPr>
        <w:t xml:space="preserve">: </w:t>
      </w:r>
      <w:r w:rsidRPr="001E3E89">
        <w:rPr>
          <w:rStyle w:val="Pogrubienie"/>
          <w:b w:val="0"/>
          <w:sz w:val="22"/>
          <w:shd w:val="clear" w:color="auto" w:fill="FFFFFF"/>
        </w:rPr>
        <w:t>naprawa, wymiana lub zwrot pieniędzy</w:t>
      </w:r>
      <w:r w:rsidR="00297A56">
        <w:rPr>
          <w:rStyle w:val="Pogrubienie"/>
          <w:b w:val="0"/>
          <w:sz w:val="22"/>
          <w:shd w:val="clear" w:color="auto" w:fill="FFFFFF"/>
        </w:rPr>
        <w:t>.</w:t>
      </w:r>
    </w:p>
    <w:p w14:paraId="73473537" w14:textId="7155890E" w:rsidR="001E3E89" w:rsidRPr="00297A56" w:rsidRDefault="00297A56" w:rsidP="001E3E89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 xml:space="preserve">Prostego zgłaszania </w:t>
      </w:r>
      <w:r w:rsidR="001E3E89" w:rsidRPr="00D97E65">
        <w:rPr>
          <w:rStyle w:val="Pogrubienie"/>
          <w:b w:val="0"/>
          <w:sz w:val="22"/>
          <w:shd w:val="clear" w:color="auto" w:fill="FFFFFF"/>
        </w:rPr>
        <w:t xml:space="preserve">niebezpiecznych produktów </w:t>
      </w:r>
      <w:r>
        <w:rPr>
          <w:rStyle w:val="Pogrubienie"/>
          <w:b w:val="0"/>
          <w:sz w:val="22"/>
          <w:shd w:val="clear" w:color="auto" w:fill="FFFFFF"/>
        </w:rPr>
        <w:t xml:space="preserve">Komisji Europejskiej za pomocą portalu </w:t>
      </w:r>
      <w:hyperlink r:id="rId10" w:history="1">
        <w:r w:rsidR="001E3E89" w:rsidRPr="00D97E65">
          <w:rPr>
            <w:rStyle w:val="Hipercze"/>
            <w:sz w:val="22"/>
            <w:shd w:val="clear" w:color="auto" w:fill="FFFFFF"/>
          </w:rPr>
          <w:t>Safety Gate</w:t>
        </w:r>
      </w:hyperlink>
      <w:r>
        <w:rPr>
          <w:rStyle w:val="Pogrubienie"/>
          <w:b w:val="0"/>
          <w:sz w:val="22"/>
          <w:shd w:val="clear" w:color="auto" w:fill="FFFFFF"/>
        </w:rPr>
        <w:t>.</w:t>
      </w:r>
    </w:p>
    <w:p w14:paraId="229F6B36" w14:textId="77777777" w:rsidR="00E87875" w:rsidRPr="00D97E65" w:rsidRDefault="00E87875" w:rsidP="00E87875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D97E65">
        <w:rPr>
          <w:rStyle w:val="Pogrubienie"/>
          <w:sz w:val="22"/>
          <w:shd w:val="clear" w:color="auto" w:fill="FFFFFF"/>
        </w:rPr>
        <w:t xml:space="preserve">Co muszą zrobić firmy? </w:t>
      </w:r>
    </w:p>
    <w:p w14:paraId="58E0C870" w14:textId="7665B44C" w:rsidR="00E87875" w:rsidRDefault="00E87875" w:rsidP="00E87875">
      <w:pPr>
        <w:spacing w:after="240" w:line="360" w:lineRule="auto"/>
        <w:jc w:val="both"/>
        <w:rPr>
          <w:rStyle w:val="Pogrubienie"/>
          <w:sz w:val="22"/>
          <w:shd w:val="clear" w:color="auto" w:fill="FFFFFF"/>
          <w:lang w:val="en-US"/>
        </w:rPr>
      </w:pPr>
      <w:r w:rsidRPr="00297A56">
        <w:rPr>
          <w:rStyle w:val="Pogrubienie"/>
          <w:sz w:val="22"/>
          <w:shd w:val="clear" w:color="auto" w:fill="FFFFFF"/>
          <w:lang w:val="en-US"/>
        </w:rPr>
        <w:t>Producen</w:t>
      </w:r>
      <w:r w:rsidR="00297A56">
        <w:rPr>
          <w:rStyle w:val="Pogrubienie"/>
          <w:sz w:val="22"/>
          <w:shd w:val="clear" w:color="auto" w:fill="FFFFFF"/>
          <w:lang w:val="en-US"/>
        </w:rPr>
        <w:t>ci</w:t>
      </w:r>
      <w:r w:rsidR="00297A56" w:rsidRPr="00297A56">
        <w:rPr>
          <w:rStyle w:val="Pogrubienie"/>
          <w:sz w:val="22"/>
          <w:shd w:val="clear" w:color="auto" w:fill="FFFFFF"/>
          <w:lang w:val="en-US"/>
        </w:rPr>
        <w:t xml:space="preserve"> lub importer</w:t>
      </w:r>
      <w:r w:rsidR="00297A56">
        <w:rPr>
          <w:rStyle w:val="Pogrubienie"/>
          <w:sz w:val="22"/>
          <w:shd w:val="clear" w:color="auto" w:fill="FFFFFF"/>
          <w:lang w:val="en-US"/>
        </w:rPr>
        <w:t>zy</w:t>
      </w:r>
      <w:r w:rsidRPr="00297A56">
        <w:rPr>
          <w:rStyle w:val="Pogrubienie"/>
          <w:sz w:val="22"/>
          <w:shd w:val="clear" w:color="auto" w:fill="FFFFFF"/>
          <w:lang w:val="en-US"/>
        </w:rPr>
        <w:t xml:space="preserve">: </w:t>
      </w:r>
    </w:p>
    <w:p w14:paraId="730552B7" w14:textId="77777777" w:rsidR="00297A56" w:rsidRPr="00297A56" w:rsidRDefault="00297A56" w:rsidP="00297A56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297A56">
        <w:rPr>
          <w:rStyle w:val="Pogrubienie"/>
          <w:b w:val="0"/>
          <w:sz w:val="22"/>
          <w:shd w:val="clear" w:color="auto" w:fill="FFFFFF"/>
        </w:rPr>
        <w:t xml:space="preserve">Opracowują dokumentację techniczną produktu, w tym analizę i minimalizację ryzyka związanego z jego użytkowaniem. </w:t>
      </w:r>
    </w:p>
    <w:p w14:paraId="2E433868" w14:textId="77777777" w:rsidR="00297A56" w:rsidRPr="00297A56" w:rsidRDefault="00297A56" w:rsidP="00297A56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297A56">
        <w:rPr>
          <w:rStyle w:val="Pogrubienie"/>
          <w:b w:val="0"/>
          <w:sz w:val="22"/>
          <w:shd w:val="clear" w:color="auto" w:fill="FFFFFF"/>
        </w:rPr>
        <w:t xml:space="preserve">Zapewniają identyfikowalność produktu poprzez podanie numeru serii lub partii. Ułatwi to odzyskanie produktu od nabywców tzw. recall w przypadku zagrożenia.  </w:t>
      </w:r>
    </w:p>
    <w:p w14:paraId="63D7C66B" w14:textId="77777777" w:rsidR="00297A56" w:rsidRPr="00297A56" w:rsidRDefault="00297A56" w:rsidP="00297A56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297A56">
        <w:rPr>
          <w:rStyle w:val="Pogrubienie"/>
          <w:b w:val="0"/>
          <w:sz w:val="22"/>
          <w:shd w:val="clear" w:color="auto" w:fill="FFFFFF"/>
        </w:rPr>
        <w:t xml:space="preserve">Podają swoje dane, aby ułatwić konsumentom kontakt. </w:t>
      </w:r>
    </w:p>
    <w:p w14:paraId="0387278F" w14:textId="6BBD2D35" w:rsidR="00297A56" w:rsidRPr="00297A56" w:rsidRDefault="00297A56" w:rsidP="00E87875">
      <w:pPr>
        <w:pStyle w:val="Akapitzlist"/>
        <w:numPr>
          <w:ilvl w:val="0"/>
          <w:numId w:val="20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297A56">
        <w:rPr>
          <w:rStyle w:val="Pogrubienie"/>
          <w:b w:val="0"/>
          <w:sz w:val="22"/>
          <w:shd w:val="clear" w:color="auto" w:fill="FFFFFF"/>
        </w:rPr>
        <w:t xml:space="preserve">Zgłaszają do portalu Safety Business Gateway wszystkie wypadki konsumenckie związane z produktami, które oferują. </w:t>
      </w:r>
    </w:p>
    <w:p w14:paraId="605AE655" w14:textId="6D5B6480" w:rsidR="00E87875" w:rsidRDefault="00E87875" w:rsidP="00E87875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297A56">
        <w:rPr>
          <w:rStyle w:val="Pogrubienie"/>
          <w:sz w:val="22"/>
          <w:shd w:val="clear" w:color="auto" w:fill="FFFFFF"/>
        </w:rPr>
        <w:t xml:space="preserve">Platformy e-commerce: </w:t>
      </w:r>
    </w:p>
    <w:p w14:paraId="2D816DBB" w14:textId="77777777" w:rsidR="00297A56" w:rsidRPr="00297A56" w:rsidRDefault="00297A56" w:rsidP="00297A56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297A56">
        <w:rPr>
          <w:rStyle w:val="Pogrubienie"/>
          <w:b w:val="0"/>
          <w:sz w:val="22"/>
          <w:shd w:val="clear" w:color="auto" w:fill="FFFFFF"/>
        </w:rPr>
        <w:t xml:space="preserve">Monitorują oferty produktów pod kątem bezpieczeństwa. </w:t>
      </w:r>
    </w:p>
    <w:p w14:paraId="595B5987" w14:textId="77777777" w:rsidR="00297A56" w:rsidRPr="00297A56" w:rsidRDefault="00297A56" w:rsidP="00297A56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297A56">
        <w:rPr>
          <w:rStyle w:val="Pogrubienie"/>
          <w:b w:val="0"/>
          <w:sz w:val="22"/>
          <w:shd w:val="clear" w:color="auto" w:fill="FFFFFF"/>
        </w:rPr>
        <w:t xml:space="preserve">Usuwają oferty niebezpiecznych produktów, zarówno jeśli same stwierdzą, że produkt stwarza ryzyko, jak i na żądanie organu nadzoru rynku.  </w:t>
      </w:r>
    </w:p>
    <w:p w14:paraId="662B7DAE" w14:textId="654CB568" w:rsidR="00297A56" w:rsidRPr="00297A56" w:rsidRDefault="00297A56" w:rsidP="00E87875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297A56">
        <w:rPr>
          <w:rStyle w:val="Pogrubienie"/>
          <w:b w:val="0"/>
          <w:sz w:val="22"/>
          <w:shd w:val="clear" w:color="auto" w:fill="FFFFFF"/>
        </w:rPr>
        <w:t xml:space="preserve">Opracowują i wdrażają procedury reagowania na zgłoszenia o niebezpiecznych produktach. </w:t>
      </w:r>
    </w:p>
    <w:p w14:paraId="6C921EEF" w14:textId="3E460870" w:rsidR="00E87875" w:rsidRPr="00D97E65" w:rsidRDefault="00E87875" w:rsidP="00E87875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D97E65">
        <w:rPr>
          <w:rStyle w:val="Pogrubienie"/>
          <w:sz w:val="22"/>
          <w:shd w:val="clear" w:color="auto" w:fill="FFFFFF"/>
        </w:rPr>
        <w:t xml:space="preserve">Kary za naruszenia </w:t>
      </w:r>
    </w:p>
    <w:p w14:paraId="3CB9A63E" w14:textId="291C4C3A" w:rsidR="00E87875" w:rsidRPr="00D97E65" w:rsidRDefault="001E3E89" w:rsidP="00E8787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 xml:space="preserve">Prezes UOKiK </w:t>
      </w:r>
      <w:r w:rsidR="00E87875" w:rsidRPr="00D97E65">
        <w:rPr>
          <w:rStyle w:val="Pogrubienie"/>
          <w:b w:val="0"/>
          <w:sz w:val="22"/>
          <w:shd w:val="clear" w:color="auto" w:fill="FFFFFF"/>
        </w:rPr>
        <w:t xml:space="preserve">przewiduje podwyższenie kar administracyjnych za wprowadzenie do obrotu produktu niebezpiecznego ze 100 tys. zł do 1 mln zł. Sankcje przewidziano również za: </w:t>
      </w:r>
    </w:p>
    <w:p w14:paraId="392B7642" w14:textId="77777777" w:rsidR="00E87875" w:rsidRPr="00D97E65" w:rsidRDefault="00E87875" w:rsidP="00E87875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D97E65">
        <w:rPr>
          <w:rStyle w:val="Pogrubienie"/>
          <w:b w:val="0"/>
          <w:sz w:val="22"/>
          <w:shd w:val="clear" w:color="auto" w:fill="FFFFFF"/>
        </w:rPr>
        <w:t xml:space="preserve">Brak dokumentacji technicznej (do 40 tys. zł) </w:t>
      </w:r>
    </w:p>
    <w:p w14:paraId="5364A4BB" w14:textId="77777777" w:rsidR="00E87875" w:rsidRPr="00D97E65" w:rsidRDefault="00E87875" w:rsidP="00E87875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D97E65">
        <w:rPr>
          <w:rStyle w:val="Pogrubienie"/>
          <w:b w:val="0"/>
          <w:sz w:val="22"/>
          <w:shd w:val="clear" w:color="auto" w:fill="FFFFFF"/>
        </w:rPr>
        <w:t xml:space="preserve">Brak identyfikacji produktu, w tym danych kontaktowych (do 100 tys. zł) </w:t>
      </w:r>
    </w:p>
    <w:p w14:paraId="57108335" w14:textId="670CA48C" w:rsidR="00E87875" w:rsidRDefault="00E87875" w:rsidP="00E87875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D97E65">
        <w:rPr>
          <w:rStyle w:val="Pogrubienie"/>
          <w:b w:val="0"/>
          <w:sz w:val="22"/>
          <w:shd w:val="clear" w:color="auto" w:fill="FFFFFF"/>
        </w:rPr>
        <w:t xml:space="preserve">Niedołączenie instrukcji na temat bezpieczeństwa, nieinformowanie o wypadkach konsumenckich lub nieostrzeganie konsumentów przed ryzykiem (do 200 tys. zł).  </w:t>
      </w:r>
    </w:p>
    <w:p w14:paraId="6851F9CB" w14:textId="43308AE5" w:rsidR="0037165B" w:rsidRPr="0037165B" w:rsidRDefault="0037165B" w:rsidP="0037165B">
      <w:pPr>
        <w:autoSpaceDE w:val="0"/>
        <w:autoSpaceDN w:val="0"/>
        <w:spacing w:line="360" w:lineRule="auto"/>
        <w:ind w:left="357"/>
        <w:jc w:val="both"/>
        <w:rPr>
          <w:sz w:val="22"/>
        </w:rPr>
      </w:pPr>
      <w:r w:rsidRPr="0037165B">
        <w:rPr>
          <w:bCs/>
          <w:sz w:val="22"/>
        </w:rPr>
        <w:t>Trwają prace nad przepisami służącymi zapewnieni</w:t>
      </w:r>
      <w:r w:rsidR="00355F93">
        <w:rPr>
          <w:bCs/>
          <w:sz w:val="22"/>
        </w:rPr>
        <w:t>u</w:t>
      </w:r>
      <w:r w:rsidRPr="0037165B">
        <w:rPr>
          <w:bCs/>
          <w:sz w:val="22"/>
        </w:rPr>
        <w:t xml:space="preserve"> stosowania wchodzącego w życie rozporządzenia, w tym zmieniającymi wysokości kar. </w:t>
      </w:r>
      <w:r w:rsidRPr="0037165B">
        <w:rPr>
          <w:rFonts w:cs="Segoe UI"/>
          <w:color w:val="000000"/>
          <w:sz w:val="22"/>
        </w:rPr>
        <w:t xml:space="preserve"> </w:t>
      </w:r>
    </w:p>
    <w:p w14:paraId="41F2A95B" w14:textId="77777777" w:rsidR="0037165B" w:rsidRDefault="0037165B" w:rsidP="00E87875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lastRenderedPageBreak/>
        <w:br/>
      </w:r>
    </w:p>
    <w:p w14:paraId="3F8CB83D" w14:textId="2DE8402C" w:rsidR="00E87875" w:rsidRPr="00D97E65" w:rsidRDefault="00E87875" w:rsidP="00E87875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D97E65">
        <w:rPr>
          <w:rStyle w:val="Pogrubienie"/>
          <w:sz w:val="22"/>
          <w:shd w:val="clear" w:color="auto" w:fill="FFFFFF"/>
        </w:rPr>
        <w:t>Wsparcie dla przedsiębiorców</w:t>
      </w:r>
    </w:p>
    <w:p w14:paraId="1484CB5D" w14:textId="79BA5845" w:rsidR="00E87875" w:rsidRPr="00D97E65" w:rsidRDefault="00E87875" w:rsidP="00E87875">
      <w:pPr>
        <w:shd w:val="clear" w:color="auto" w:fill="FFFFFF"/>
        <w:spacing w:after="225" w:line="432" w:lineRule="atLeast"/>
        <w:jc w:val="both"/>
        <w:rPr>
          <w:bCs/>
          <w:sz w:val="22"/>
          <w:shd w:val="clear" w:color="auto" w:fill="FFFFFF"/>
        </w:rPr>
      </w:pPr>
      <w:r w:rsidRPr="00D97E65">
        <w:rPr>
          <w:bCs/>
          <w:sz w:val="22"/>
          <w:shd w:val="clear" w:color="auto" w:fill="FFFFFF"/>
        </w:rPr>
        <w:t xml:space="preserve">Komisja Europejska opracowała </w:t>
      </w:r>
      <w:r w:rsidR="00297A56" w:rsidRPr="00297A56">
        <w:rPr>
          <w:bCs/>
          <w:sz w:val="22"/>
          <w:shd w:val="clear" w:color="auto" w:fill="FFFFFF"/>
        </w:rPr>
        <w:t xml:space="preserve">specjalną stronę </w:t>
      </w:r>
      <w:hyperlink r:id="rId11" w:anchor="/screen/pages/effectiveRecalls" w:history="1">
        <w:r w:rsidR="00297A56" w:rsidRPr="00E65848">
          <w:rPr>
            <w:rStyle w:val="Hipercze"/>
            <w:bCs/>
            <w:sz w:val="22"/>
            <w:shd w:val="clear" w:color="auto" w:fill="FFFFFF"/>
          </w:rPr>
          <w:t>https://ec.europa.eu/safety-gate/#/screen/pages/effectiveRecalls</w:t>
        </w:r>
      </w:hyperlink>
      <w:r w:rsidR="00297A56">
        <w:rPr>
          <w:bCs/>
          <w:sz w:val="22"/>
          <w:shd w:val="clear" w:color="auto" w:fill="FFFFFF"/>
        </w:rPr>
        <w:t xml:space="preserve">, </w:t>
      </w:r>
      <w:r w:rsidRPr="00D97E65">
        <w:rPr>
          <w:bCs/>
          <w:sz w:val="22"/>
          <w:shd w:val="clear" w:color="auto" w:fill="FFFFFF"/>
        </w:rPr>
        <w:t>na której wyjaśnia</w:t>
      </w:r>
      <w:r w:rsidR="00297A56">
        <w:rPr>
          <w:bCs/>
          <w:sz w:val="22"/>
          <w:shd w:val="clear" w:color="auto" w:fill="FFFFFF"/>
        </w:rPr>
        <w:t xml:space="preserve"> obowiązki przedsiębiorców w sytuacji wykrycia wśród</w:t>
      </w:r>
      <w:r w:rsidRPr="00D97E65">
        <w:rPr>
          <w:bCs/>
          <w:sz w:val="22"/>
          <w:shd w:val="clear" w:color="auto" w:fill="FFFFFF"/>
        </w:rPr>
        <w:t xml:space="preserve"> oferowanych produktów </w:t>
      </w:r>
      <w:r w:rsidR="00297A56">
        <w:rPr>
          <w:bCs/>
          <w:sz w:val="22"/>
          <w:shd w:val="clear" w:color="auto" w:fill="FFFFFF"/>
        </w:rPr>
        <w:t xml:space="preserve">– tych </w:t>
      </w:r>
      <w:r w:rsidRPr="00D97E65">
        <w:rPr>
          <w:bCs/>
          <w:sz w:val="22"/>
          <w:shd w:val="clear" w:color="auto" w:fill="FFFFFF"/>
        </w:rPr>
        <w:t>niebezpieczn</w:t>
      </w:r>
      <w:r w:rsidR="00297A56">
        <w:rPr>
          <w:bCs/>
          <w:sz w:val="22"/>
          <w:shd w:val="clear" w:color="auto" w:fill="FFFFFF"/>
        </w:rPr>
        <w:t>ych</w:t>
      </w:r>
      <w:r w:rsidRPr="00D97E65">
        <w:rPr>
          <w:bCs/>
          <w:sz w:val="22"/>
          <w:shd w:val="clear" w:color="auto" w:fill="FFFFFF"/>
        </w:rPr>
        <w:t xml:space="preserve">. </w:t>
      </w:r>
      <w:r w:rsidR="00297A56">
        <w:rPr>
          <w:bCs/>
          <w:sz w:val="22"/>
          <w:shd w:val="clear" w:color="auto" w:fill="FFFFFF"/>
        </w:rPr>
        <w:t>Podaje również</w:t>
      </w:r>
      <w:r>
        <w:rPr>
          <w:bCs/>
          <w:sz w:val="22"/>
          <w:shd w:val="clear" w:color="auto" w:fill="FFFFFF"/>
        </w:rPr>
        <w:t xml:space="preserve"> </w:t>
      </w:r>
      <w:r w:rsidR="00297A56">
        <w:rPr>
          <w:bCs/>
          <w:sz w:val="22"/>
          <w:shd w:val="clear" w:color="auto" w:fill="FFFFFF"/>
        </w:rPr>
        <w:t xml:space="preserve">obowiązujący w takich sytuacjach </w:t>
      </w:r>
      <w:hyperlink r:id="rId12" w:history="1">
        <w:r w:rsidRPr="00D97E65">
          <w:rPr>
            <w:rStyle w:val="Hipercze"/>
            <w:bCs/>
            <w:sz w:val="22"/>
            <w:shd w:val="clear" w:color="auto" w:fill="FFFFFF"/>
          </w:rPr>
          <w:t>wz</w:t>
        </w:r>
        <w:r w:rsidR="00297A56">
          <w:rPr>
            <w:rStyle w:val="Hipercze"/>
            <w:bCs/>
            <w:sz w:val="22"/>
            <w:shd w:val="clear" w:color="auto" w:fill="FFFFFF"/>
          </w:rPr>
          <w:t xml:space="preserve">ór </w:t>
        </w:r>
        <w:r w:rsidRPr="00D97E65">
          <w:rPr>
            <w:rStyle w:val="Hipercze"/>
            <w:bCs/>
            <w:sz w:val="22"/>
            <w:shd w:val="clear" w:color="auto" w:fill="FFFFFF"/>
          </w:rPr>
          <w:t>ostrzeżenia.</w:t>
        </w:r>
      </w:hyperlink>
    </w:p>
    <w:p w14:paraId="457A6209" w14:textId="77777777" w:rsidR="00E87875" w:rsidRPr="00D97E65" w:rsidRDefault="00E87875" w:rsidP="00E87875">
      <w:pPr>
        <w:spacing w:after="240" w:line="360" w:lineRule="auto"/>
        <w:jc w:val="both"/>
        <w:rPr>
          <w:bCs/>
          <w:sz w:val="22"/>
          <w:shd w:val="clear" w:color="auto" w:fill="FFFFFF"/>
        </w:rPr>
      </w:pPr>
      <w:r w:rsidRPr="00D97E65">
        <w:rPr>
          <w:bCs/>
          <w:sz w:val="22"/>
          <w:shd w:val="clear" w:color="auto" w:fill="FFFFFF"/>
        </w:rPr>
        <w:t>Ponadto przepisy GPSR przewidują utworzenie punktu informacyjnego w każdym państwie członkowskim, który nieodpłatnie będzie udzielał informacji związanych ze stosowaniem unijnych oraz krajowych przepisów dot. ogólnego bezpieczeństwa produktów.</w:t>
      </w:r>
    </w:p>
    <w:p w14:paraId="030FD667" w14:textId="77777777" w:rsidR="00E87875" w:rsidRPr="00D97E65" w:rsidRDefault="00E87875" w:rsidP="00E87875"/>
    <w:p w14:paraId="11A0ECCF" w14:textId="77777777" w:rsidR="00E87875" w:rsidRDefault="00E87875" w:rsidP="00E87875"/>
    <w:p w14:paraId="4234FD40" w14:textId="4CB330DB" w:rsidR="00733789" w:rsidRPr="00733789" w:rsidRDefault="00733789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33789" w:rsidRPr="00733789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D6E6E" w14:textId="77777777" w:rsidR="00135D80" w:rsidRDefault="00135D80">
      <w:r>
        <w:separator/>
      </w:r>
    </w:p>
  </w:endnote>
  <w:endnote w:type="continuationSeparator" w:id="0">
    <w:p w14:paraId="4A557941" w14:textId="77777777" w:rsidR="00135D80" w:rsidRDefault="0013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B87A3" w14:textId="77777777" w:rsidR="00135D80" w:rsidRDefault="00135D80">
      <w:r>
        <w:separator/>
      </w:r>
    </w:p>
  </w:footnote>
  <w:footnote w:type="continuationSeparator" w:id="0">
    <w:p w14:paraId="5A2A9AE4" w14:textId="77777777" w:rsidR="00135D80" w:rsidRDefault="00135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1BA70E5"/>
    <w:multiLevelType w:val="hybridMultilevel"/>
    <w:tmpl w:val="BCFA7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DB424D"/>
    <w:multiLevelType w:val="hybridMultilevel"/>
    <w:tmpl w:val="B178E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E11E4"/>
    <w:multiLevelType w:val="hybridMultilevel"/>
    <w:tmpl w:val="14183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94079"/>
    <w:multiLevelType w:val="hybridMultilevel"/>
    <w:tmpl w:val="B7282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6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3350DC"/>
    <w:multiLevelType w:val="hybridMultilevel"/>
    <w:tmpl w:val="81EA4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6"/>
  </w:num>
  <w:num w:numId="5">
    <w:abstractNumId w:val="13"/>
  </w:num>
  <w:num w:numId="6">
    <w:abstractNumId w:val="9"/>
  </w:num>
  <w:num w:numId="7">
    <w:abstractNumId w:val="20"/>
  </w:num>
  <w:num w:numId="8">
    <w:abstractNumId w:val="22"/>
  </w:num>
  <w:num w:numId="9">
    <w:abstractNumId w:val="10"/>
  </w:num>
  <w:num w:numId="10">
    <w:abstractNumId w:val="1"/>
  </w:num>
  <w:num w:numId="11">
    <w:abstractNumId w:val="3"/>
  </w:num>
  <w:num w:numId="12">
    <w:abstractNumId w:val="19"/>
  </w:num>
  <w:num w:numId="13">
    <w:abstractNumId w:val="11"/>
  </w:num>
  <w:num w:numId="14">
    <w:abstractNumId w:val="16"/>
  </w:num>
  <w:num w:numId="15">
    <w:abstractNumId w:val="12"/>
  </w:num>
  <w:num w:numId="16">
    <w:abstractNumId w:val="5"/>
  </w:num>
  <w:num w:numId="17">
    <w:abstractNumId w:val="0"/>
  </w:num>
  <w:num w:numId="18">
    <w:abstractNumId w:val="4"/>
  </w:num>
  <w:num w:numId="19">
    <w:abstractNumId w:val="18"/>
  </w:num>
  <w:num w:numId="20">
    <w:abstractNumId w:val="7"/>
  </w:num>
  <w:num w:numId="21">
    <w:abstractNumId w:val="14"/>
  </w:num>
  <w:num w:numId="22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D80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430"/>
    <w:rsid w:val="001675EF"/>
    <w:rsid w:val="0017028A"/>
    <w:rsid w:val="00171120"/>
    <w:rsid w:val="00172D7D"/>
    <w:rsid w:val="00173806"/>
    <w:rsid w:val="001746FD"/>
    <w:rsid w:val="00175436"/>
    <w:rsid w:val="00190D5A"/>
    <w:rsid w:val="00191108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3E89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41FC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97A56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55F93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165B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B7259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2790B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7C5C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30D5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507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8787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download.php?id=1958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safety-gat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safety-gate-alerts/screen/search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PL/TXT/?uri=CELEX:32023R098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18E2A-66AB-4DFE-9B03-61FF4394936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28301D-0DF9-4F48-BA90-E3E1AAC7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2024-12-12T14:33:00Z</dcterms:created>
  <dcterms:modified xsi:type="dcterms:W3CDTF">2024-12-17T13:31:00Z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de9c636a-658c-461e-a538-16136d631320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